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34" w:rsidRPr="002E34B5" w:rsidRDefault="001A4934" w:rsidP="0011249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lang w:val="en-US"/>
        </w:rPr>
      </w:pPr>
    </w:p>
    <w:p w:rsidR="001A4934" w:rsidRPr="002E34B5" w:rsidRDefault="001A4934" w:rsidP="0011249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lang w:val="en-US"/>
        </w:rPr>
      </w:pPr>
    </w:p>
    <w:p w:rsidR="001A4934" w:rsidRPr="002E34B5" w:rsidRDefault="001A4934" w:rsidP="0011249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lang w:val="en-US"/>
        </w:rPr>
      </w:pPr>
    </w:p>
    <w:p w:rsidR="001A4934" w:rsidRPr="002E34B5" w:rsidRDefault="001A4934" w:rsidP="0011249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lang w:val="en-US"/>
        </w:rPr>
      </w:pPr>
    </w:p>
    <w:p w:rsidR="001A4934" w:rsidRPr="002E34B5" w:rsidRDefault="001A4934" w:rsidP="0011249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lang w:val="en-US"/>
        </w:rPr>
      </w:pPr>
    </w:p>
    <w:p w:rsidR="001A4934" w:rsidRPr="002E34B5" w:rsidRDefault="001A4934" w:rsidP="0011249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lang w:val="en-US"/>
        </w:rPr>
      </w:pPr>
    </w:p>
    <w:p w:rsidR="001A4934" w:rsidRPr="002E34B5" w:rsidRDefault="001A4934" w:rsidP="0011249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lang w:val="en-US"/>
        </w:rPr>
      </w:pPr>
    </w:p>
    <w:p w:rsidR="001A4934" w:rsidRPr="002E34B5" w:rsidRDefault="001A4934" w:rsidP="0011249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1A4934" w:rsidRPr="002E34B5" w:rsidRDefault="001A4934" w:rsidP="0011249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1A4934" w:rsidRPr="002E34B5" w:rsidRDefault="001A4934" w:rsidP="0011249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1A4934" w:rsidRPr="002E34B5" w:rsidRDefault="001A4934" w:rsidP="003D020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lang w:val="ro-RO"/>
        </w:rPr>
      </w:pPr>
      <w:r w:rsidRPr="002E34B5"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lang w:val="en-US"/>
        </w:rPr>
        <w:t>Raport de MoNITORIZARE A PUBLIC</w:t>
      </w:r>
      <w:r w:rsidRPr="002E34B5"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lang w:val="ro-RO"/>
        </w:rPr>
        <w:t xml:space="preserve">ĂRII </w:t>
      </w:r>
      <w:r w:rsidR="007229A7"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lang w:val="ro-RO"/>
        </w:rPr>
        <w:t xml:space="preserve">pe portalul </w:t>
      </w:r>
      <w:r w:rsidR="00535E24"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lang w:val="ro-RO"/>
        </w:rPr>
        <w:t xml:space="preserve">național al </w:t>
      </w:r>
      <w:r w:rsidR="007229A7"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lang w:val="ro-RO"/>
        </w:rPr>
        <w:t xml:space="preserve">instanțelor de judecată a </w:t>
      </w:r>
      <w:r w:rsidRPr="002E34B5"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lang w:val="ro-RO"/>
        </w:rPr>
        <w:t>HOTĂRÎRILOR JUDECĂTOREȘTI</w:t>
      </w:r>
    </w:p>
    <w:p w:rsidR="001A4934" w:rsidRPr="002E34B5" w:rsidRDefault="003B1354" w:rsidP="003D020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lang w:val="ro-RO"/>
        </w:rPr>
      </w:pPr>
      <w:r w:rsidRPr="002E34B5"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lang w:val="ro-RO"/>
        </w:rPr>
        <w:t xml:space="preserve">Pe </w:t>
      </w:r>
      <w:r w:rsidR="00C623B6"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lang w:val="ro-RO"/>
        </w:rPr>
        <w:t xml:space="preserve">anul </w:t>
      </w:r>
      <w:r w:rsidR="006E62AB"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lang w:val="ro-RO"/>
        </w:rPr>
        <w:t>2018</w:t>
      </w:r>
    </w:p>
    <w:p w:rsidR="001A4934" w:rsidRPr="002E34B5" w:rsidRDefault="001A4934" w:rsidP="003D020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1A4934" w:rsidRPr="002E34B5" w:rsidRDefault="001A4934" w:rsidP="0011249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1A4934" w:rsidRPr="002E34B5" w:rsidRDefault="001A4934" w:rsidP="0011249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1A4934" w:rsidRPr="002E34B5" w:rsidRDefault="001A4934" w:rsidP="0011249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1A4934" w:rsidRPr="002E34B5" w:rsidRDefault="001A4934" w:rsidP="0011249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1A4934" w:rsidRPr="002E34B5" w:rsidRDefault="001A4934" w:rsidP="0011249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1A4934" w:rsidRPr="002E34B5" w:rsidRDefault="001A4934" w:rsidP="0011249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1A4934" w:rsidRPr="002E34B5" w:rsidRDefault="001A4934" w:rsidP="0011249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1A4934" w:rsidRPr="002E34B5" w:rsidRDefault="001A4934" w:rsidP="0011249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1A4934" w:rsidRPr="002E34B5" w:rsidRDefault="001A4934" w:rsidP="0011249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1A4934" w:rsidRPr="002E34B5" w:rsidRDefault="001A4934" w:rsidP="0011249D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1A4934" w:rsidRPr="002E34B5" w:rsidRDefault="001A4934" w:rsidP="0011249D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1A4934" w:rsidRPr="002E34B5" w:rsidRDefault="001A4934" w:rsidP="0011249D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1A4934" w:rsidRPr="002E34B5" w:rsidRDefault="001A4934" w:rsidP="0011249D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1A4934" w:rsidRPr="002E34B5" w:rsidRDefault="001A4934" w:rsidP="0011249D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1A4934" w:rsidRPr="002E34B5" w:rsidRDefault="001A4934" w:rsidP="0011249D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1A4934" w:rsidRPr="002E34B5" w:rsidRDefault="001A4934" w:rsidP="00871880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447DE6" w:rsidRPr="00871880" w:rsidRDefault="007229A7" w:rsidP="0087188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lang w:val="en-US"/>
        </w:rPr>
      </w:pPr>
      <w:r w:rsidRPr="00871880"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lang w:val="en-US"/>
        </w:rPr>
        <w:t>A</w:t>
      </w:r>
      <w:r w:rsidR="00871880" w:rsidRPr="00871880"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lang w:val="en-US"/>
        </w:rPr>
        <w:t>GENȚIA DE ADMINISTRARE A INSTANȚELOR JUDECĂTOREȘTI</w:t>
      </w:r>
    </w:p>
    <w:p w:rsidR="000C5543" w:rsidRPr="002E34B5" w:rsidRDefault="00F0013D" w:rsidP="000C5543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Chișinău, 2019</w:t>
      </w:r>
    </w:p>
    <w:p w:rsidR="00447DE6" w:rsidRDefault="00447DE6" w:rsidP="00871880">
      <w:pPr>
        <w:pStyle w:val="a3"/>
        <w:spacing w:before="2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0C5543" w:rsidRPr="000C5543" w:rsidRDefault="000C5543" w:rsidP="00871880">
      <w:pPr>
        <w:pStyle w:val="a3"/>
        <w:spacing w:before="2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447DE6" w:rsidRPr="002E34B5" w:rsidRDefault="00447DE6" w:rsidP="00871880">
      <w:pPr>
        <w:pStyle w:val="a3"/>
        <w:spacing w:before="240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:rsidR="001A4934" w:rsidRPr="002E34B5" w:rsidRDefault="001A4934" w:rsidP="006F420E">
      <w:pPr>
        <w:pStyle w:val="a3"/>
        <w:spacing w:before="2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2E34B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lastRenderedPageBreak/>
        <w:t>Scopul</w:t>
      </w:r>
    </w:p>
    <w:p w:rsidR="001A4934" w:rsidRPr="002E34B5" w:rsidRDefault="001A4934" w:rsidP="00447DE6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2E34B5">
        <w:rPr>
          <w:rFonts w:ascii="Times New Roman" w:hAnsi="Times New Roman" w:cs="Times New Roman"/>
          <w:sz w:val="24"/>
          <w:szCs w:val="24"/>
          <w:lang w:val="ro-MO"/>
        </w:rPr>
        <w:t>Scopul raportului constă în evaluarea nivelului de respectare, de către instanțele judecătorești, a cadrului normativ privind publicarea hotărîrilor judecătorești pe Po</w:t>
      </w:r>
      <w:r w:rsidR="005E7E70" w:rsidRPr="002E34B5">
        <w:rPr>
          <w:rFonts w:ascii="Times New Roman" w:hAnsi="Times New Roman" w:cs="Times New Roman"/>
          <w:sz w:val="24"/>
          <w:szCs w:val="24"/>
          <w:lang w:val="ro-MO"/>
        </w:rPr>
        <w:t xml:space="preserve">rtalul </w:t>
      </w:r>
      <w:r w:rsidR="00D26A9F">
        <w:rPr>
          <w:rFonts w:ascii="Times New Roman" w:hAnsi="Times New Roman" w:cs="Times New Roman"/>
          <w:sz w:val="24"/>
          <w:szCs w:val="24"/>
          <w:lang w:val="ro-RO"/>
        </w:rPr>
        <w:t xml:space="preserve">Național al </w:t>
      </w:r>
      <w:r w:rsidR="005E7E70" w:rsidRPr="002E34B5">
        <w:rPr>
          <w:rFonts w:ascii="Times New Roman" w:hAnsi="Times New Roman" w:cs="Times New Roman"/>
          <w:sz w:val="24"/>
          <w:szCs w:val="24"/>
          <w:lang w:val="ro-MO"/>
        </w:rPr>
        <w:t xml:space="preserve">Instanțelor </w:t>
      </w:r>
      <w:r w:rsidR="00DB15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E7E70" w:rsidRPr="002E34B5">
        <w:rPr>
          <w:rFonts w:ascii="Times New Roman" w:hAnsi="Times New Roman" w:cs="Times New Roman"/>
          <w:sz w:val="24"/>
          <w:szCs w:val="24"/>
          <w:lang w:val="ro-MO"/>
        </w:rPr>
        <w:t>de Judecată</w:t>
      </w:r>
      <w:r w:rsidR="00D26A9F">
        <w:rPr>
          <w:rFonts w:ascii="Times New Roman" w:hAnsi="Times New Roman" w:cs="Times New Roman"/>
          <w:sz w:val="24"/>
          <w:szCs w:val="24"/>
          <w:lang w:val="ro-MO"/>
        </w:rPr>
        <w:t xml:space="preserve"> (în continuare PNIJ</w:t>
      </w:r>
      <w:r w:rsidR="00DB15E6">
        <w:rPr>
          <w:rFonts w:ascii="Times New Roman" w:hAnsi="Times New Roman" w:cs="Times New Roman"/>
          <w:sz w:val="24"/>
          <w:szCs w:val="24"/>
          <w:lang w:val="ro-MO"/>
        </w:rPr>
        <w:t>)</w:t>
      </w:r>
      <w:r w:rsidR="005E7E70" w:rsidRPr="002E34B5">
        <w:rPr>
          <w:rFonts w:ascii="Times New Roman" w:hAnsi="Times New Roman" w:cs="Times New Roman"/>
          <w:sz w:val="24"/>
          <w:szCs w:val="24"/>
          <w:lang w:val="ro-MO"/>
        </w:rPr>
        <w:t>.</w:t>
      </w:r>
    </w:p>
    <w:p w:rsidR="00BC2E06" w:rsidRPr="002E34B5" w:rsidRDefault="00BC2E06" w:rsidP="00447DE6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2E34B5">
        <w:rPr>
          <w:rFonts w:ascii="Times New Roman" w:hAnsi="Times New Roman" w:cs="Times New Roman"/>
          <w:sz w:val="24"/>
          <w:szCs w:val="24"/>
          <w:lang w:val="ro-MO"/>
        </w:rPr>
        <w:t>Conform art. 10 alin. (4), (5) din Legea nr. 514 din 6 iulie 1995 privind organizarea judecătorească, hotărîrile judecătoriilor, ale curţilor de apel şi ale Curţii Supreme de Justiţie se publică pe pagina web din internet și modul de publicare a hotărîrilor judecătoreşti este stabilit prin Regulamentul privind modul de publicare a hotărîrilor judecătoreşti, aprobat de către Consiliul Superior al Magistraturii.</w:t>
      </w:r>
    </w:p>
    <w:p w:rsidR="00BC2E06" w:rsidRPr="002E34B5" w:rsidRDefault="00E55CCA" w:rsidP="00447DE6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În conformitate</w:t>
      </w:r>
      <w:r w:rsidR="00BC2E06" w:rsidRPr="002E34B5">
        <w:rPr>
          <w:rFonts w:ascii="Times New Roman" w:hAnsi="Times New Roman" w:cs="Times New Roman"/>
          <w:sz w:val="24"/>
          <w:szCs w:val="24"/>
          <w:lang w:val="ro-MO"/>
        </w:rPr>
        <w:t xml:space="preserve"> cu pct. 10 al Regulamentul privind modul de publicare a hotărîrilor judecătorești pe Portalul Național al Instanțelor de Judecată și pe pagina web a Curții Supreme de Justiție, aprobat prin Hotăr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BC2E06" w:rsidRPr="002E34B5">
        <w:rPr>
          <w:rFonts w:ascii="Times New Roman" w:hAnsi="Times New Roman" w:cs="Times New Roman"/>
          <w:sz w:val="24"/>
          <w:szCs w:val="24"/>
          <w:lang w:val="ro-MO"/>
        </w:rPr>
        <w:t>rea Consiliului Superior al Magistraturii nr.</w:t>
      </w:r>
      <w:r w:rsidR="008B2E7A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="00BC2E06" w:rsidRPr="002E34B5">
        <w:rPr>
          <w:rFonts w:ascii="Times New Roman" w:hAnsi="Times New Roman" w:cs="Times New Roman"/>
          <w:sz w:val="24"/>
          <w:szCs w:val="24"/>
          <w:lang w:val="ro-MO"/>
        </w:rPr>
        <w:t>658/30 din 10.10.2017, toate hotărârile judecătoriilor și ale Curților de Apel se publică pe portalul național al instanțelor de judecată după introducerea acestora în Programul Integrat de Gestionare a Dosarelor.</w:t>
      </w:r>
    </w:p>
    <w:p w:rsidR="00BC2E06" w:rsidRDefault="00BC2E06" w:rsidP="00447DE6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2E34B5">
        <w:rPr>
          <w:rFonts w:ascii="Times New Roman" w:hAnsi="Times New Roman" w:cs="Times New Roman"/>
          <w:sz w:val="24"/>
          <w:szCs w:val="24"/>
          <w:lang w:val="ro-MO"/>
        </w:rPr>
        <w:t xml:space="preserve">Totodată pct. 19 prevede că încheierile judecătorești nu se publică pe portalul național al instanțelor de judecată sau, după caz, pe pagina web a Curții Supreme de Justiție, cu excepția celor prin care se soluționează fondul unei probleme. </w:t>
      </w:r>
    </w:p>
    <w:p w:rsidR="006B1C03" w:rsidRPr="006B1C03" w:rsidRDefault="006B1C03" w:rsidP="006B1C03">
      <w:pPr>
        <w:pStyle w:val="a3"/>
        <w:ind w:left="0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MO"/>
        </w:rPr>
        <w:t xml:space="preserve">        </w:t>
      </w:r>
      <w:r w:rsidR="002965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MO"/>
        </w:rPr>
        <w:t xml:space="preserve">    </w:t>
      </w:r>
      <w:r w:rsidR="00C623B6">
        <w:rPr>
          <w:rFonts w:ascii="Times New Roman" w:hAnsi="Times New Roman" w:cs="Times New Roman"/>
          <w:bCs/>
          <w:iCs/>
          <w:color w:val="000000"/>
          <w:sz w:val="24"/>
          <w:szCs w:val="24"/>
          <w:lang w:val="ro-MO"/>
        </w:rPr>
        <w:t xml:space="preserve">Respectiv pe parcursul anului </w:t>
      </w:r>
      <w:r w:rsidRPr="006B1C03">
        <w:rPr>
          <w:rFonts w:ascii="Times New Roman" w:hAnsi="Times New Roman" w:cs="Times New Roman"/>
          <w:bCs/>
          <w:iCs/>
          <w:color w:val="000000"/>
          <w:sz w:val="24"/>
          <w:szCs w:val="24"/>
          <w:lang w:val="ro-MO"/>
        </w:rPr>
        <w:t>201</w:t>
      </w:r>
      <w:r w:rsidR="00E76CD5">
        <w:rPr>
          <w:rFonts w:ascii="Times New Roman" w:hAnsi="Times New Roman" w:cs="Times New Roman"/>
          <w:bCs/>
          <w:iCs/>
          <w:color w:val="000000"/>
          <w:sz w:val="24"/>
          <w:szCs w:val="24"/>
          <w:lang w:val="ro-MO"/>
        </w:rPr>
        <w:t>8</w:t>
      </w:r>
      <w:r w:rsidR="006F3671">
        <w:rPr>
          <w:rFonts w:ascii="Times New Roman" w:hAnsi="Times New Roman" w:cs="Times New Roman"/>
          <w:bCs/>
          <w:iCs/>
          <w:color w:val="000000"/>
          <w:sz w:val="24"/>
          <w:szCs w:val="24"/>
          <w:lang w:val="ro-MO"/>
        </w:rPr>
        <w:t xml:space="preserve"> </w:t>
      </w:r>
      <w:r w:rsidRPr="006B1C03">
        <w:rPr>
          <w:rFonts w:ascii="Times New Roman" w:hAnsi="Times New Roman" w:cs="Times New Roman"/>
          <w:bCs/>
          <w:iCs/>
          <w:color w:val="000000"/>
          <w:sz w:val="24"/>
          <w:szCs w:val="24"/>
          <w:lang w:val="ro-MO"/>
        </w:rPr>
        <w:t xml:space="preserve"> pe PNIJ au fost</w:t>
      </w:r>
      <w:r w:rsidR="00D853ED">
        <w:rPr>
          <w:rFonts w:ascii="Times New Roman" w:hAnsi="Times New Roman" w:cs="Times New Roman"/>
          <w:bCs/>
          <w:iCs/>
          <w:color w:val="000000"/>
          <w:sz w:val="24"/>
          <w:szCs w:val="24"/>
          <w:lang w:val="ro-MO"/>
        </w:rPr>
        <w:t xml:space="preserve"> publicate </w:t>
      </w:r>
      <w:r w:rsidR="00894B95">
        <w:rPr>
          <w:rFonts w:ascii="Times New Roman" w:hAnsi="Times New Roman" w:cs="Times New Roman"/>
          <w:bCs/>
          <w:iCs/>
          <w:color w:val="000000"/>
          <w:sz w:val="24"/>
          <w:szCs w:val="24"/>
          <w:lang w:val="ro-MO"/>
        </w:rPr>
        <w:t xml:space="preserve">150316 </w:t>
      </w:r>
      <w:r w:rsidR="00D853ED">
        <w:rPr>
          <w:rFonts w:ascii="Times New Roman" w:hAnsi="Times New Roman" w:cs="Times New Roman"/>
          <w:bCs/>
          <w:iCs/>
          <w:color w:val="000000"/>
          <w:sz w:val="24"/>
          <w:szCs w:val="24"/>
          <w:lang w:val="ro-MO"/>
        </w:rPr>
        <w:t xml:space="preserve"> hotărîrii </w:t>
      </w:r>
      <w:r w:rsidR="003F1BB6">
        <w:rPr>
          <w:rFonts w:ascii="Times New Roman" w:hAnsi="Times New Roman" w:cs="Times New Roman"/>
          <w:bCs/>
          <w:iCs/>
          <w:color w:val="000000"/>
          <w:sz w:val="24"/>
          <w:szCs w:val="24"/>
          <w:lang w:val="ro-MO"/>
        </w:rPr>
        <w:t xml:space="preserve"> </w:t>
      </w:r>
      <w:r w:rsidR="00D853ED">
        <w:rPr>
          <w:rFonts w:ascii="Times New Roman" w:hAnsi="Times New Roman" w:cs="Times New Roman"/>
          <w:bCs/>
          <w:iCs/>
          <w:color w:val="000000"/>
          <w:sz w:val="24"/>
          <w:szCs w:val="24"/>
          <w:lang w:val="ro-MO"/>
        </w:rPr>
        <w:t>și</w:t>
      </w:r>
      <w:r w:rsidR="003F1BB6">
        <w:rPr>
          <w:rFonts w:ascii="Times New Roman" w:hAnsi="Times New Roman" w:cs="Times New Roman"/>
          <w:bCs/>
          <w:iCs/>
          <w:color w:val="000000"/>
          <w:sz w:val="24"/>
          <w:szCs w:val="24"/>
          <w:lang w:val="ro-MO"/>
        </w:rPr>
        <w:t xml:space="preserve"> </w:t>
      </w:r>
      <w:r w:rsidR="00D853ED">
        <w:rPr>
          <w:rFonts w:ascii="Times New Roman" w:hAnsi="Times New Roman" w:cs="Times New Roman"/>
          <w:bCs/>
          <w:iCs/>
          <w:color w:val="000000"/>
          <w:sz w:val="24"/>
          <w:szCs w:val="24"/>
          <w:lang w:val="ro-MO"/>
        </w:rPr>
        <w:t xml:space="preserve"> </w:t>
      </w:r>
      <w:r w:rsidR="00894B95">
        <w:rPr>
          <w:rFonts w:ascii="Times New Roman" w:hAnsi="Times New Roman" w:cs="Times New Roman"/>
          <w:bCs/>
          <w:iCs/>
          <w:color w:val="000000"/>
          <w:sz w:val="24"/>
          <w:szCs w:val="24"/>
          <w:lang w:val="ro-MO"/>
        </w:rPr>
        <w:t>61832</w:t>
      </w:r>
      <w:r w:rsidR="00D853ED">
        <w:rPr>
          <w:rFonts w:ascii="Times New Roman" w:hAnsi="Times New Roman" w:cs="Times New Roman"/>
          <w:bCs/>
          <w:iCs/>
          <w:color w:val="000000"/>
          <w:sz w:val="24"/>
          <w:szCs w:val="24"/>
          <w:lang w:val="ro-MO"/>
        </w:rPr>
        <w:t xml:space="preserve"> î</w:t>
      </w:r>
      <w:r w:rsidRPr="006B1C03">
        <w:rPr>
          <w:rFonts w:ascii="Times New Roman" w:hAnsi="Times New Roman" w:cs="Times New Roman"/>
          <w:bCs/>
          <w:iCs/>
          <w:color w:val="000000"/>
          <w:sz w:val="24"/>
          <w:szCs w:val="24"/>
          <w:lang w:val="ro-MO"/>
        </w:rPr>
        <w:t>ncheieri  ale Judecătoriilor și Curților de Apel.</w:t>
      </w:r>
    </w:p>
    <w:p w:rsidR="00DB15E6" w:rsidRDefault="0029654D" w:rsidP="0029654D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 xml:space="preserve">           </w:t>
      </w:r>
      <w:r w:rsidR="001A4934" w:rsidRPr="002E34B5">
        <w:rPr>
          <w:rFonts w:ascii="Times New Roman" w:hAnsi="Times New Roman" w:cs="Times New Roman"/>
          <w:sz w:val="24"/>
          <w:szCs w:val="24"/>
          <w:lang w:val="ro-MO"/>
        </w:rPr>
        <w:t>Conform datelor din</w:t>
      </w:r>
      <w:r w:rsidR="001A4934" w:rsidRPr="002E34B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MO"/>
        </w:rPr>
        <w:t xml:space="preserve"> </w:t>
      </w:r>
      <w:r w:rsidR="001A4934" w:rsidRPr="002E34B5">
        <w:rPr>
          <w:rFonts w:ascii="Times New Roman" w:hAnsi="Times New Roman" w:cs="Times New Roman"/>
          <w:sz w:val="24"/>
          <w:szCs w:val="24"/>
          <w:lang w:val="ro-MO"/>
        </w:rPr>
        <w:t>Programul Integrat de Gestionare a Dosarelor</w:t>
      </w:r>
      <w:r w:rsidR="00E55CCA">
        <w:rPr>
          <w:rFonts w:ascii="Times New Roman" w:hAnsi="Times New Roman" w:cs="Times New Roman"/>
          <w:sz w:val="24"/>
          <w:szCs w:val="24"/>
          <w:lang w:val="ro-MO"/>
        </w:rPr>
        <w:t>,</w:t>
      </w:r>
      <w:r w:rsidR="001A4934" w:rsidRPr="002E34B5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="00382E44">
        <w:rPr>
          <w:rFonts w:ascii="Times New Roman" w:hAnsi="Times New Roman" w:cs="Times New Roman"/>
          <w:sz w:val="24"/>
          <w:szCs w:val="24"/>
          <w:lang w:val="ro-MO"/>
        </w:rPr>
        <w:t>p</w:t>
      </w:r>
      <w:r w:rsidR="00AF00EA" w:rsidRPr="002E34B5">
        <w:rPr>
          <w:rFonts w:ascii="Times New Roman" w:hAnsi="Times New Roman" w:cs="Times New Roman"/>
          <w:sz w:val="24"/>
          <w:szCs w:val="24"/>
          <w:lang w:val="ro-MO"/>
        </w:rPr>
        <w:t>e parcursul perioade</w:t>
      </w:r>
      <w:r w:rsidR="00744EDA">
        <w:rPr>
          <w:rFonts w:ascii="Times New Roman" w:hAnsi="Times New Roman" w:cs="Times New Roman"/>
          <w:sz w:val="24"/>
          <w:szCs w:val="24"/>
          <w:lang w:val="ro-MO"/>
        </w:rPr>
        <w:t>i</w:t>
      </w:r>
      <w:r w:rsidR="00AF00EA" w:rsidRPr="002E34B5">
        <w:rPr>
          <w:rFonts w:ascii="Times New Roman" w:hAnsi="Times New Roman" w:cs="Times New Roman"/>
          <w:sz w:val="24"/>
          <w:szCs w:val="24"/>
          <w:lang w:val="ro-MO"/>
        </w:rPr>
        <w:t xml:space="preserve"> de gestiune din </w:t>
      </w:r>
      <w:r w:rsidR="00894B95">
        <w:rPr>
          <w:rFonts w:ascii="Times New Roman" w:hAnsi="Times New Roman" w:cs="Times New Roman"/>
          <w:sz w:val="24"/>
          <w:szCs w:val="24"/>
          <w:lang w:val="ro-MO"/>
        </w:rPr>
        <w:t>64025</w:t>
      </w:r>
      <w:r w:rsidR="00AF00EA" w:rsidRPr="002E34B5">
        <w:rPr>
          <w:rFonts w:ascii="Times New Roman" w:hAnsi="Times New Roman" w:cs="Times New Roman"/>
          <w:sz w:val="24"/>
          <w:szCs w:val="24"/>
          <w:lang w:val="ro-MO"/>
        </w:rPr>
        <w:t xml:space="preserve"> încheieri</w:t>
      </w:r>
      <w:r w:rsidR="00AF00EA" w:rsidRPr="002E34B5">
        <w:rPr>
          <w:rFonts w:ascii="Times New Roman" w:hAnsi="Times New Roman" w:cs="Times New Roman"/>
          <w:color w:val="000000"/>
          <w:sz w:val="24"/>
          <w:szCs w:val="24"/>
          <w:lang w:val="ro-MO"/>
        </w:rPr>
        <w:t xml:space="preserve"> </w:t>
      </w:r>
      <w:r w:rsidR="00AF00EA" w:rsidRPr="002E34B5">
        <w:rPr>
          <w:rFonts w:ascii="Times New Roman" w:hAnsi="Times New Roman" w:cs="Times New Roman"/>
          <w:sz w:val="24"/>
          <w:szCs w:val="24"/>
          <w:lang w:val="ro-MO"/>
        </w:rPr>
        <w:t xml:space="preserve">(dosare) </w:t>
      </w:r>
      <w:r w:rsidR="00DB15E6" w:rsidRPr="002E34B5">
        <w:rPr>
          <w:rFonts w:ascii="Times New Roman" w:hAnsi="Times New Roman" w:cs="Times New Roman"/>
          <w:sz w:val="24"/>
          <w:szCs w:val="24"/>
          <w:lang w:val="ro-MO"/>
        </w:rPr>
        <w:t>disponibile pentru publica</w:t>
      </w:r>
      <w:r w:rsidR="00DB15E6">
        <w:rPr>
          <w:rFonts w:ascii="Times New Roman" w:hAnsi="Times New Roman" w:cs="Times New Roman"/>
          <w:sz w:val="24"/>
          <w:szCs w:val="24"/>
          <w:lang w:val="ro-MO"/>
        </w:rPr>
        <w:t>r</w:t>
      </w:r>
      <w:r w:rsidR="00DB15E6" w:rsidRPr="002E34B5">
        <w:rPr>
          <w:rFonts w:ascii="Times New Roman" w:hAnsi="Times New Roman" w:cs="Times New Roman"/>
          <w:sz w:val="24"/>
          <w:szCs w:val="24"/>
          <w:lang w:val="ro-MO"/>
        </w:rPr>
        <w:t>e</w:t>
      </w:r>
      <w:r w:rsidR="00DB15E6" w:rsidRPr="00DB15E6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="00001B33">
        <w:rPr>
          <w:rFonts w:ascii="Times New Roman" w:hAnsi="Times New Roman" w:cs="Times New Roman"/>
          <w:sz w:val="24"/>
          <w:szCs w:val="24"/>
          <w:lang w:val="ro-MO"/>
        </w:rPr>
        <w:t xml:space="preserve">au fost </w:t>
      </w:r>
      <w:r w:rsidR="00325F88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="00DB15E6">
        <w:rPr>
          <w:rFonts w:ascii="Times New Roman" w:hAnsi="Times New Roman" w:cs="Times New Roman"/>
          <w:sz w:val="24"/>
          <w:szCs w:val="24"/>
          <w:lang w:val="ro-MO"/>
        </w:rPr>
        <w:t>publicate</w:t>
      </w:r>
      <w:r w:rsidR="00DB15E6" w:rsidRPr="002E34B5">
        <w:rPr>
          <w:rFonts w:ascii="Times New Roman" w:hAnsi="Times New Roman" w:cs="Times New Roman"/>
          <w:sz w:val="24"/>
          <w:szCs w:val="24"/>
          <w:lang w:val="ro-MO"/>
        </w:rPr>
        <w:t xml:space="preserve"> pe</w:t>
      </w:r>
      <w:r w:rsidR="006B1C03">
        <w:rPr>
          <w:rFonts w:ascii="Times New Roman" w:hAnsi="Times New Roman" w:cs="Times New Roman"/>
          <w:sz w:val="24"/>
          <w:szCs w:val="24"/>
          <w:lang w:val="ro-MO"/>
        </w:rPr>
        <w:t xml:space="preserve"> PNIJ</w:t>
      </w:r>
      <w:r w:rsidR="00DB15E6" w:rsidRPr="002E34B5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="00325F88">
        <w:rPr>
          <w:rFonts w:ascii="Times New Roman" w:hAnsi="Times New Roman" w:cs="Times New Roman"/>
          <w:sz w:val="24"/>
          <w:szCs w:val="24"/>
          <w:lang w:val="ro-MO"/>
        </w:rPr>
        <w:t xml:space="preserve">   </w:t>
      </w:r>
      <w:r w:rsidR="00B8608D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="00894B95">
        <w:rPr>
          <w:rFonts w:ascii="Times New Roman" w:hAnsi="Times New Roman" w:cs="Times New Roman"/>
          <w:sz w:val="24"/>
          <w:szCs w:val="24"/>
          <w:lang w:val="ro-MO"/>
        </w:rPr>
        <w:t>97</w:t>
      </w:r>
      <w:r w:rsidR="00325F88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="00DB15E6" w:rsidRPr="002E34B5">
        <w:rPr>
          <w:rFonts w:ascii="Times New Roman" w:hAnsi="Times New Roman" w:cs="Times New Roman"/>
          <w:sz w:val="24"/>
          <w:szCs w:val="24"/>
          <w:lang w:val="ro-MO"/>
        </w:rPr>
        <w:t>%</w:t>
      </w:r>
      <w:r w:rsidR="00001B33">
        <w:rPr>
          <w:rFonts w:ascii="Times New Roman" w:hAnsi="Times New Roman" w:cs="Times New Roman"/>
          <w:sz w:val="24"/>
          <w:szCs w:val="24"/>
          <w:lang w:val="ro-MO"/>
        </w:rPr>
        <w:t xml:space="preserve"> ce constituie </w:t>
      </w:r>
      <w:r w:rsidR="00894B95">
        <w:rPr>
          <w:rFonts w:ascii="Times New Roman" w:hAnsi="Times New Roman" w:cs="Times New Roman"/>
          <w:sz w:val="24"/>
          <w:szCs w:val="24"/>
          <w:lang w:val="ro-MO"/>
        </w:rPr>
        <w:t>61832</w:t>
      </w:r>
      <w:r w:rsidR="00325F88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="00001B33">
        <w:rPr>
          <w:rFonts w:ascii="Times New Roman" w:hAnsi="Times New Roman" w:cs="Times New Roman"/>
          <w:sz w:val="24"/>
          <w:szCs w:val="24"/>
          <w:lang w:val="ro-MO"/>
        </w:rPr>
        <w:t xml:space="preserve"> încheieri.</w:t>
      </w:r>
    </w:p>
    <w:p w:rsidR="00DE4021" w:rsidRDefault="00DE4021" w:rsidP="0029654D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7C4A31" w:rsidRDefault="007C4A31" w:rsidP="00AF00E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2E34B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Figura nr. </w:t>
      </w:r>
      <w:r w:rsidR="00C61CF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1</w:t>
      </w:r>
    </w:p>
    <w:p w:rsidR="00421DAA" w:rsidRDefault="007C4A31" w:rsidP="00421DAA">
      <w:pPr>
        <w:ind w:left="284" w:hanging="284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</w:pPr>
      <w:r w:rsidRPr="00D967F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    </w:t>
      </w:r>
      <w:r w:rsidR="005C73CA">
        <w:rPr>
          <w:noProof/>
        </w:rPr>
        <w:drawing>
          <wp:inline distT="0" distB="0" distL="0" distR="0">
            <wp:extent cx="4572000" cy="3121155"/>
            <wp:effectExtent l="0" t="0" r="0" b="3045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E4021" w:rsidRPr="00DE4021" w:rsidRDefault="00DE4021" w:rsidP="00421DAA">
      <w:pPr>
        <w:ind w:left="284" w:hanging="284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</w:pPr>
    </w:p>
    <w:p w:rsidR="002E34B5" w:rsidRDefault="002E34B5" w:rsidP="002E34B5">
      <w:pPr>
        <w:pStyle w:val="a3"/>
        <w:tabs>
          <w:tab w:val="left" w:pos="945"/>
        </w:tabs>
        <w:ind w:left="0" w:firstLine="644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D967F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lastRenderedPageBreak/>
        <w:t xml:space="preserve">Ponderea nepublicării </w:t>
      </w:r>
      <w:r w:rsidRPr="002E34B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încheierilor judecătorești după tipul dosarului</w:t>
      </w:r>
    </w:p>
    <w:p w:rsidR="00211832" w:rsidRDefault="006239BA" w:rsidP="00211832">
      <w:pPr>
        <w:pStyle w:val="a3"/>
        <w:tabs>
          <w:tab w:val="left" w:pos="945"/>
        </w:tabs>
        <w:ind w:left="0" w:firstLine="644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Figura nr. 2</w:t>
      </w:r>
    </w:p>
    <w:p w:rsidR="007C4A31" w:rsidRPr="002E34B5" w:rsidRDefault="005C73CA" w:rsidP="002E34B5">
      <w:pPr>
        <w:pStyle w:val="a3"/>
        <w:tabs>
          <w:tab w:val="left" w:pos="945"/>
        </w:tabs>
        <w:ind w:left="0" w:firstLine="644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>
        <w:rPr>
          <w:noProof/>
        </w:rPr>
        <w:drawing>
          <wp:inline distT="0" distB="0" distL="0" distR="0">
            <wp:extent cx="4572000" cy="3223634"/>
            <wp:effectExtent l="0" t="0" r="0" b="5341"/>
            <wp:docPr id="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F24FD" w:rsidRDefault="007C4A31" w:rsidP="00AF24FD">
      <w:pPr>
        <w:pStyle w:val="a3"/>
        <w:tabs>
          <w:tab w:val="left" w:pos="945"/>
        </w:tabs>
        <w:spacing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2E34B5" w:rsidRDefault="0029654D" w:rsidP="0029654D">
      <w:pPr>
        <w:pStyle w:val="a3"/>
        <w:tabs>
          <w:tab w:val="left" w:pos="709"/>
          <w:tab w:val="left" w:pos="945"/>
        </w:tabs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2E34B5" w:rsidRPr="002E34B5">
        <w:rPr>
          <w:rFonts w:ascii="Times New Roman" w:hAnsi="Times New Roman" w:cs="Times New Roman"/>
          <w:sz w:val="24"/>
          <w:szCs w:val="24"/>
          <w:lang w:val="ro-MO"/>
        </w:rPr>
        <w:t>Conform datelor din</w:t>
      </w:r>
      <w:r w:rsidR="002E34B5" w:rsidRPr="002E34B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MO"/>
        </w:rPr>
        <w:t xml:space="preserve"> </w:t>
      </w:r>
      <w:r w:rsidR="002E34B5" w:rsidRPr="002E34B5">
        <w:rPr>
          <w:rFonts w:ascii="Times New Roman" w:hAnsi="Times New Roman" w:cs="Times New Roman"/>
          <w:sz w:val="24"/>
          <w:szCs w:val="24"/>
          <w:lang w:val="ro-MO"/>
        </w:rPr>
        <w:t>Programul Integrat de Gestionare a Dosarelor</w:t>
      </w:r>
      <w:r w:rsidR="007850B3">
        <w:rPr>
          <w:rFonts w:ascii="Times New Roman" w:hAnsi="Times New Roman" w:cs="Times New Roman"/>
          <w:sz w:val="24"/>
          <w:szCs w:val="24"/>
          <w:lang w:val="ro-MO"/>
        </w:rPr>
        <w:t>,</w:t>
      </w:r>
      <w:r w:rsidR="002E34B5" w:rsidRPr="002E34B5">
        <w:rPr>
          <w:rFonts w:ascii="Times New Roman" w:hAnsi="Times New Roman" w:cs="Times New Roman"/>
          <w:sz w:val="24"/>
          <w:szCs w:val="24"/>
          <w:lang w:val="ro-MO"/>
        </w:rPr>
        <w:t xml:space="preserve"> pe</w:t>
      </w:r>
      <w:r w:rsidR="00FA1366">
        <w:rPr>
          <w:rFonts w:ascii="Times New Roman" w:hAnsi="Times New Roman" w:cs="Times New Roman"/>
          <w:sz w:val="24"/>
          <w:szCs w:val="24"/>
          <w:lang w:val="ro-MO"/>
        </w:rPr>
        <w:t xml:space="preserve"> parcursul perioade</w:t>
      </w:r>
      <w:r w:rsidR="00744EDA">
        <w:rPr>
          <w:rFonts w:ascii="Times New Roman" w:hAnsi="Times New Roman" w:cs="Times New Roman"/>
          <w:sz w:val="24"/>
          <w:szCs w:val="24"/>
          <w:lang w:val="ro-MO"/>
        </w:rPr>
        <w:t>i</w:t>
      </w:r>
      <w:r w:rsidR="007850B3">
        <w:rPr>
          <w:rFonts w:ascii="Times New Roman" w:hAnsi="Times New Roman" w:cs="Times New Roman"/>
          <w:sz w:val="24"/>
          <w:szCs w:val="24"/>
          <w:lang w:val="ro-MO"/>
        </w:rPr>
        <w:t xml:space="preserve"> de</w:t>
      </w:r>
      <w:r w:rsidR="00FA1366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="00B8608D">
        <w:rPr>
          <w:rFonts w:ascii="Times New Roman" w:hAnsi="Times New Roman" w:cs="Times New Roman"/>
          <w:sz w:val="24"/>
          <w:szCs w:val="24"/>
          <w:lang w:val="ro-MO"/>
        </w:rPr>
        <w:t>referință</w:t>
      </w:r>
      <w:r w:rsidR="00FA1366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="002E34B5" w:rsidRPr="002E34B5">
        <w:rPr>
          <w:rFonts w:ascii="Times New Roman" w:hAnsi="Times New Roman" w:cs="Times New Roman"/>
          <w:sz w:val="24"/>
          <w:szCs w:val="24"/>
          <w:lang w:val="ro-MO"/>
        </w:rPr>
        <w:t xml:space="preserve">din </w:t>
      </w:r>
      <w:r w:rsidR="00894B95">
        <w:rPr>
          <w:rFonts w:ascii="Times New Roman" w:hAnsi="Times New Roman" w:cs="Times New Roman"/>
          <w:sz w:val="24"/>
          <w:szCs w:val="24"/>
          <w:lang w:val="ro-MO"/>
        </w:rPr>
        <w:t>156475</w:t>
      </w:r>
      <w:r w:rsidR="002E34B5" w:rsidRPr="002E34B5">
        <w:rPr>
          <w:rFonts w:ascii="Times New Roman" w:hAnsi="Times New Roman" w:cs="Times New Roman"/>
          <w:sz w:val="24"/>
          <w:szCs w:val="24"/>
          <w:lang w:val="ro-MO"/>
        </w:rPr>
        <w:t xml:space="preserve"> hotărîri </w:t>
      </w:r>
      <w:r w:rsidR="00B8608D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="002E34B5" w:rsidRPr="002E34B5">
        <w:rPr>
          <w:rFonts w:ascii="Times New Roman" w:hAnsi="Times New Roman" w:cs="Times New Roman"/>
          <w:sz w:val="24"/>
          <w:szCs w:val="24"/>
          <w:lang w:val="ro-MO"/>
        </w:rPr>
        <w:t>judecătorești disponibile pentru</w:t>
      </w:r>
      <w:r w:rsidR="00B8608D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="002E34B5" w:rsidRPr="002E34B5">
        <w:rPr>
          <w:rFonts w:ascii="Times New Roman" w:hAnsi="Times New Roman" w:cs="Times New Roman"/>
          <w:sz w:val="24"/>
          <w:szCs w:val="24"/>
          <w:lang w:val="ro-MO"/>
        </w:rPr>
        <w:t xml:space="preserve"> publicare</w:t>
      </w:r>
      <w:r w:rsidR="00DB15E6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="007850B3">
        <w:rPr>
          <w:rFonts w:ascii="Times New Roman" w:hAnsi="Times New Roman" w:cs="Times New Roman"/>
          <w:sz w:val="24"/>
          <w:szCs w:val="24"/>
          <w:lang w:val="ro-MO"/>
        </w:rPr>
        <w:t>au fost</w:t>
      </w:r>
      <w:r w:rsidR="00B8608D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="00DB15E6">
        <w:rPr>
          <w:rFonts w:ascii="Times New Roman" w:hAnsi="Times New Roman" w:cs="Times New Roman"/>
          <w:sz w:val="24"/>
          <w:szCs w:val="24"/>
          <w:lang w:val="ro-MO"/>
        </w:rPr>
        <w:t xml:space="preserve"> publicate</w:t>
      </w:r>
      <w:r w:rsidR="008B2E7A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="002E34B5" w:rsidRPr="002E34B5">
        <w:rPr>
          <w:rFonts w:ascii="Times New Roman" w:hAnsi="Times New Roman" w:cs="Times New Roman"/>
          <w:sz w:val="24"/>
          <w:szCs w:val="24"/>
          <w:lang w:val="ro-MO"/>
        </w:rPr>
        <w:t>pe P</w:t>
      </w:r>
      <w:r w:rsidR="006B1C03">
        <w:rPr>
          <w:rFonts w:ascii="Times New Roman" w:hAnsi="Times New Roman" w:cs="Times New Roman"/>
          <w:sz w:val="24"/>
          <w:szCs w:val="24"/>
          <w:lang w:val="ro-MO"/>
        </w:rPr>
        <w:t>NIJ</w:t>
      </w:r>
      <w:r w:rsidR="002E34B5" w:rsidRPr="002E34B5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MO"/>
        </w:rPr>
        <w:t xml:space="preserve">    </w:t>
      </w:r>
      <w:r w:rsidR="007C690B">
        <w:rPr>
          <w:rFonts w:ascii="Times New Roman" w:hAnsi="Times New Roman" w:cs="Times New Roman"/>
          <w:sz w:val="24"/>
          <w:szCs w:val="24"/>
          <w:lang w:val="ro-MO"/>
        </w:rPr>
        <w:t>9</w:t>
      </w:r>
      <w:r w:rsidR="008B693E">
        <w:rPr>
          <w:rFonts w:ascii="Times New Roman" w:hAnsi="Times New Roman" w:cs="Times New Roman"/>
          <w:sz w:val="24"/>
          <w:szCs w:val="24"/>
          <w:lang w:val="ro-MO"/>
        </w:rPr>
        <w:t>6</w:t>
      </w:r>
      <w:r w:rsidR="007C690B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="007229A7" w:rsidRPr="002E34B5">
        <w:rPr>
          <w:rFonts w:ascii="Times New Roman" w:hAnsi="Times New Roman" w:cs="Times New Roman"/>
          <w:sz w:val="24"/>
          <w:szCs w:val="24"/>
          <w:lang w:val="ro-MO"/>
        </w:rPr>
        <w:t>%</w:t>
      </w:r>
      <w:r w:rsidR="007850B3">
        <w:rPr>
          <w:rFonts w:ascii="Times New Roman" w:hAnsi="Times New Roman" w:cs="Times New Roman"/>
          <w:sz w:val="24"/>
          <w:szCs w:val="24"/>
          <w:lang w:val="ro-MO"/>
        </w:rPr>
        <w:t>, ce constituie</w:t>
      </w:r>
      <w:r w:rsidR="00001B33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="00F61B7E">
        <w:rPr>
          <w:rFonts w:ascii="Times New Roman" w:hAnsi="Times New Roman" w:cs="Times New Roman"/>
          <w:sz w:val="24"/>
          <w:szCs w:val="24"/>
          <w:lang w:val="ro-MO"/>
        </w:rPr>
        <w:t>1</w:t>
      </w:r>
      <w:r w:rsidR="00894B95">
        <w:rPr>
          <w:rFonts w:ascii="Times New Roman" w:hAnsi="Times New Roman" w:cs="Times New Roman"/>
          <w:sz w:val="24"/>
          <w:szCs w:val="24"/>
          <w:lang w:val="ro-MO"/>
        </w:rPr>
        <w:t>5</w:t>
      </w:r>
      <w:r w:rsidR="00F61B7E">
        <w:rPr>
          <w:rFonts w:ascii="Times New Roman" w:hAnsi="Times New Roman" w:cs="Times New Roman"/>
          <w:sz w:val="24"/>
          <w:szCs w:val="24"/>
          <w:lang w:val="ro-MO"/>
        </w:rPr>
        <w:t>0</w:t>
      </w:r>
      <w:r w:rsidR="00894B95">
        <w:rPr>
          <w:rFonts w:ascii="Times New Roman" w:hAnsi="Times New Roman" w:cs="Times New Roman"/>
          <w:sz w:val="24"/>
          <w:szCs w:val="24"/>
          <w:lang w:val="ro-MO"/>
        </w:rPr>
        <w:t xml:space="preserve">316 </w:t>
      </w:r>
      <w:r w:rsidR="00001B33">
        <w:rPr>
          <w:rFonts w:ascii="Times New Roman" w:hAnsi="Times New Roman" w:cs="Times New Roman"/>
          <w:sz w:val="24"/>
          <w:szCs w:val="24"/>
          <w:lang w:val="ro-MO"/>
        </w:rPr>
        <w:t xml:space="preserve"> hotărîri.</w:t>
      </w:r>
      <w:r w:rsidR="007850B3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</w:p>
    <w:p w:rsidR="003F1BB6" w:rsidRDefault="003F1BB6" w:rsidP="002E34B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C4A31" w:rsidRPr="00C514BB" w:rsidRDefault="007C4A31" w:rsidP="002E34B5">
      <w:pPr>
        <w:jc w:val="both"/>
        <w:rPr>
          <w:rFonts w:cs="Times New Roman"/>
          <w:color w:val="000000"/>
          <w:lang w:val="en-US"/>
        </w:rPr>
      </w:pPr>
      <w:r w:rsidRPr="002E34B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Figura nr. </w:t>
      </w:r>
      <w:r w:rsidR="00C61CF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3</w:t>
      </w:r>
    </w:p>
    <w:p w:rsidR="002E34B5" w:rsidRDefault="007C4A31" w:rsidP="00C514BB">
      <w:pPr>
        <w:tabs>
          <w:tab w:val="left" w:pos="945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5C73CA">
        <w:rPr>
          <w:noProof/>
        </w:rPr>
        <w:drawing>
          <wp:inline distT="0" distB="0" distL="0" distR="0">
            <wp:extent cx="4572000" cy="3121155"/>
            <wp:effectExtent l="0" t="0" r="0" b="3045"/>
            <wp:docPr id="3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A16FF" w:rsidRPr="00BA16FF" w:rsidRDefault="00BA16FF" w:rsidP="00C514BB">
      <w:pPr>
        <w:tabs>
          <w:tab w:val="left" w:pos="9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14BB" w:rsidRDefault="00C514BB" w:rsidP="00C514BB">
      <w:pPr>
        <w:pStyle w:val="a3"/>
        <w:tabs>
          <w:tab w:val="left" w:pos="945"/>
        </w:tabs>
        <w:ind w:left="0" w:firstLine="644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2E34B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lastRenderedPageBreak/>
        <w:t xml:space="preserve">Ponderea nepublicării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hotărî</w:t>
      </w:r>
      <w:r w:rsidRPr="002E34B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rilor judecătorești după tipul dosarului</w:t>
      </w:r>
    </w:p>
    <w:p w:rsidR="007C4A31" w:rsidRDefault="00C61CF8" w:rsidP="00C514BB">
      <w:pPr>
        <w:pStyle w:val="a3"/>
        <w:tabs>
          <w:tab w:val="left" w:pos="945"/>
        </w:tabs>
        <w:ind w:left="0" w:firstLine="644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Figura nr. 4</w:t>
      </w:r>
    </w:p>
    <w:p w:rsidR="007C4A31" w:rsidRPr="002E34B5" w:rsidRDefault="005C73CA" w:rsidP="00C514BB">
      <w:pPr>
        <w:pStyle w:val="a3"/>
        <w:tabs>
          <w:tab w:val="left" w:pos="945"/>
        </w:tabs>
        <w:ind w:left="0" w:firstLine="644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572000" cy="3223634"/>
            <wp:effectExtent l="0" t="0" r="0" b="5341"/>
            <wp:wrapSquare wrapText="bothSides"/>
            <wp:docPr id="5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C514BB" w:rsidRPr="00C514BB" w:rsidRDefault="00C514BB" w:rsidP="00C514BB">
      <w:pPr>
        <w:tabs>
          <w:tab w:val="left" w:pos="9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4934" w:rsidRDefault="007850B3" w:rsidP="008356C0">
      <w:pPr>
        <w:pStyle w:val="a3"/>
        <w:tabs>
          <w:tab w:val="left" w:pos="945"/>
        </w:tabs>
        <w:ind w:left="0" w:firstLine="644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Rata nivelului de respectare</w:t>
      </w:r>
      <w:r w:rsidR="001A4934" w:rsidRPr="002E34B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de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către instanțele judecătorești</w:t>
      </w:r>
      <w:r w:rsidR="001A4934" w:rsidRPr="002E34B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a cadrului normativ privind publicarea hotărîrilor judecătorești</w:t>
      </w:r>
    </w:p>
    <w:p w:rsidR="003F1BB6" w:rsidRDefault="003F1BB6" w:rsidP="008356C0">
      <w:pPr>
        <w:pStyle w:val="a3"/>
        <w:tabs>
          <w:tab w:val="left" w:pos="945"/>
        </w:tabs>
        <w:ind w:left="0" w:firstLine="644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:rsidR="007C4A31" w:rsidRPr="002E34B5" w:rsidRDefault="00C61CF8" w:rsidP="008356C0">
      <w:pPr>
        <w:pStyle w:val="a3"/>
        <w:tabs>
          <w:tab w:val="left" w:pos="945"/>
        </w:tabs>
        <w:ind w:left="0" w:firstLine="644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Figura nr. 5</w:t>
      </w:r>
    </w:p>
    <w:p w:rsidR="00CE5AE9" w:rsidRDefault="005C73CA" w:rsidP="007C4A31">
      <w:pPr>
        <w:tabs>
          <w:tab w:val="left" w:pos="94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0" b="0"/>
            <wp:docPr id="4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10604" w:rsidRDefault="00910604" w:rsidP="007C4A31">
      <w:pPr>
        <w:tabs>
          <w:tab w:val="left" w:pos="94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</w:p>
    <w:p w:rsidR="00910604" w:rsidRDefault="00910604" w:rsidP="007C4A31">
      <w:pPr>
        <w:tabs>
          <w:tab w:val="left" w:pos="94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</w:p>
    <w:p w:rsidR="00910604" w:rsidRDefault="00910604" w:rsidP="007C4A31">
      <w:pPr>
        <w:tabs>
          <w:tab w:val="left" w:pos="94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</w:p>
    <w:p w:rsidR="00910604" w:rsidRDefault="00910604" w:rsidP="007C4A31">
      <w:pPr>
        <w:tabs>
          <w:tab w:val="left" w:pos="94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</w:p>
    <w:p w:rsidR="00F1532C" w:rsidRDefault="00F1532C" w:rsidP="007C4A31">
      <w:pPr>
        <w:tabs>
          <w:tab w:val="left" w:pos="945"/>
        </w:tabs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</w:p>
    <w:tbl>
      <w:tblPr>
        <w:tblW w:w="9453" w:type="dxa"/>
        <w:tblInd w:w="118" w:type="dxa"/>
        <w:tblLayout w:type="fixed"/>
        <w:tblLook w:val="04A0"/>
      </w:tblPr>
      <w:tblGrid>
        <w:gridCol w:w="1971"/>
        <w:gridCol w:w="1512"/>
        <w:gridCol w:w="911"/>
        <w:gridCol w:w="841"/>
        <w:gridCol w:w="1985"/>
        <w:gridCol w:w="1275"/>
        <w:gridCol w:w="958"/>
      </w:tblGrid>
      <w:tr w:rsidR="00F1532C" w:rsidRPr="00F1532C" w:rsidTr="00F1532C">
        <w:trPr>
          <w:trHeight w:val="315"/>
        </w:trPr>
        <w:tc>
          <w:tcPr>
            <w:tcW w:w="9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F153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>Informația privind publicarea încheierilor (pe dosare)  pentru  fiecare instanță</w:t>
            </w:r>
          </w:p>
        </w:tc>
      </w:tr>
      <w:tr w:rsidR="00F1532C" w:rsidRPr="00F1532C" w:rsidTr="00F1532C">
        <w:trPr>
          <w:trHeight w:val="315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32C" w:rsidRPr="00F1532C" w:rsidRDefault="00F1532C" w:rsidP="00F1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532C" w:rsidRPr="00F1532C" w:rsidTr="00F1532C">
        <w:trPr>
          <w:trHeight w:val="33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Tabelul nr. 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32C" w:rsidRPr="00F1532C" w:rsidTr="00F1532C">
        <w:trPr>
          <w:trHeight w:val="330"/>
        </w:trPr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Instanța de judecată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Statutul Încheierilor</w:t>
            </w:r>
          </w:p>
        </w:tc>
        <w:tc>
          <w:tcPr>
            <w:tcW w:w="37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Tipul dosarului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Numarul total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</w:p>
        </w:tc>
      </w:tr>
      <w:tr w:rsidR="00F1532C" w:rsidRPr="00F1532C" w:rsidTr="00F1532C">
        <w:trPr>
          <w:trHeight w:val="645"/>
        </w:trPr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Civil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Penal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Contravențional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Judecătoria Chișinău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19 055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95,79%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517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838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4,21%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Judecătoria Criuleni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1 496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96,89%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48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3,11%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Judecătoria Hîncești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4 762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93,63%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187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324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6,37%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Judecătoria Orhei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3 860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96,91%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123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3,09%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Judecătoria Anenii Noi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2 093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99,76%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Judecătoria Căușeni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publicat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90,64%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109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117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9,36%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Judecătoria Bălți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3 866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97,82%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86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Judecătoria Drochia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99,85%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894B95" w:rsidRDefault="00894B95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Judecătoria Edineț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1 591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99,13%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894B95" w:rsidRDefault="00894B95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Judecătoria Soroca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1 195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90,53%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894B95" w:rsidRDefault="00894B95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125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9,47%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Judecătoria Strășeni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1 388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90,90%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123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139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9,10%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Judecătoria Ungheni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94,95%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118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128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5,05%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Judecătoria Cahul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94,36%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112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894B95" w:rsidRDefault="00894B95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157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Judecătoria Comrat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98,92%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Judecătoria Cimișlia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93,69%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55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6,31%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Curtea de Apel Chișinău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11 768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99,80%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Curtea de Apel </w:t>
            </w: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Bălți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99,78%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Curtea de Apel Cahul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98,60%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894B95" w:rsidRDefault="00894B95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Curtea de Apel Comrat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</w:tr>
      <w:tr w:rsidR="00F1532C" w:rsidRPr="00F1532C" w:rsidTr="00F1532C">
        <w:trPr>
          <w:trHeight w:val="375"/>
        </w:trPr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F1532C" w:rsidRPr="00F1532C" w:rsidTr="00F1532C">
        <w:trPr>
          <w:trHeight w:val="345"/>
        </w:trPr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50251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61832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1532C" w:rsidRPr="00F1532C" w:rsidTr="00F1532C">
        <w:trPr>
          <w:trHeight w:val="345"/>
        </w:trPr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2193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67C7D" w:rsidRDefault="00B33904" w:rsidP="00367C7D">
      <w:pPr>
        <w:ind w:right="20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33904">
        <w:rPr>
          <w:rFonts w:ascii="Times New Roman" w:hAnsi="Times New Roman" w:cs="Times New Roman"/>
          <w:sz w:val="24"/>
          <w:szCs w:val="24"/>
          <w:lang w:val="ro-RO"/>
        </w:rPr>
        <w:t xml:space="preserve">Instanţele de judecată </w:t>
      </w:r>
      <w:r w:rsidR="002B4A05">
        <w:rPr>
          <w:rFonts w:ascii="Times New Roman" w:hAnsi="Times New Roman" w:cs="Times New Roman"/>
          <w:sz w:val="24"/>
          <w:szCs w:val="24"/>
          <w:lang w:val="ro-RO"/>
        </w:rPr>
        <w:t>cu cea mai mare</w:t>
      </w:r>
      <w:r w:rsidR="007850B3">
        <w:rPr>
          <w:rFonts w:ascii="Times New Roman" w:hAnsi="Times New Roman" w:cs="Times New Roman"/>
          <w:sz w:val="24"/>
          <w:szCs w:val="24"/>
          <w:lang w:val="ro-RO"/>
        </w:rPr>
        <w:t xml:space="preserve"> și respectiv cea mai mică </w:t>
      </w:r>
      <w:r w:rsidR="002B4A05">
        <w:rPr>
          <w:rFonts w:ascii="Times New Roman" w:hAnsi="Times New Roman" w:cs="Times New Roman"/>
          <w:sz w:val="24"/>
          <w:szCs w:val="24"/>
          <w:lang w:val="ro-RO"/>
        </w:rPr>
        <w:t>rată de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publica</w:t>
      </w:r>
      <w:r w:rsidR="002B4A05">
        <w:rPr>
          <w:rFonts w:ascii="Times New Roman" w:hAnsi="Times New Roman" w:cs="Times New Roman"/>
          <w:sz w:val="24"/>
          <w:szCs w:val="24"/>
          <w:lang w:val="ro-RO"/>
        </w:rPr>
        <w:t>re</w:t>
      </w:r>
      <w:r w:rsidR="007850B3"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încheieri</w:t>
      </w:r>
      <w:r w:rsidR="007850B3">
        <w:rPr>
          <w:rFonts w:ascii="Times New Roman" w:hAnsi="Times New Roman" w:cs="Times New Roman"/>
          <w:sz w:val="24"/>
          <w:szCs w:val="24"/>
          <w:lang w:val="ro-RO"/>
        </w:rPr>
        <w:t>lor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(pe</w:t>
      </w:r>
      <w:r w:rsidR="007850B3">
        <w:rPr>
          <w:rFonts w:ascii="Times New Roman" w:hAnsi="Times New Roman" w:cs="Times New Roman"/>
          <w:sz w:val="24"/>
          <w:szCs w:val="24"/>
          <w:lang w:val="ro-RO"/>
        </w:rPr>
        <w:t>ntru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dosare civile, penale, contravenționale) </w:t>
      </w:r>
      <w:r w:rsidR="00120815">
        <w:rPr>
          <w:rFonts w:ascii="Times New Roman" w:hAnsi="Times New Roman" w:cs="Times New Roman"/>
          <w:sz w:val="24"/>
          <w:szCs w:val="24"/>
          <w:lang w:val="ro-RO"/>
        </w:rPr>
        <w:t xml:space="preserve">sunt </w:t>
      </w:r>
      <w:r w:rsidR="00367C7D">
        <w:rPr>
          <w:rFonts w:ascii="Times New Roman" w:hAnsi="Times New Roman" w:cs="Times New Roman"/>
          <w:sz w:val="24"/>
          <w:szCs w:val="24"/>
          <w:lang w:val="ro-RO"/>
        </w:rPr>
        <w:t xml:space="preserve">următoarele: </w:t>
      </w:r>
      <w:r w:rsidR="00367C7D" w:rsidRPr="00B339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94B95" w:rsidRDefault="00894B95" w:rsidP="00367C7D">
      <w:pPr>
        <w:spacing w:after="0"/>
        <w:ind w:right="20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Curtea de Apel Comrat – 100%;</w:t>
      </w:r>
      <w:r w:rsidR="00C55238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Judecătoria Cimișlia – 93,69%;</w:t>
      </w:r>
    </w:p>
    <w:p w:rsidR="00C55238" w:rsidRDefault="00C55238" w:rsidP="00367C7D">
      <w:pPr>
        <w:spacing w:after="0"/>
        <w:ind w:right="20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Judecătoria Drochia – 99,85%;</w:t>
      </w:r>
      <w:r w:rsidR="002B4A05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="00367C7D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="00CE4FC5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o-RO"/>
        </w:rPr>
        <w:t>Judecătoria</w:t>
      </w:r>
      <w:r w:rsidR="00894B95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>Hîncești – 93,63%;</w:t>
      </w:r>
      <w:r w:rsidR="00894B95"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</w:t>
      </w:r>
      <w:r w:rsidR="00371A5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</w:t>
      </w:r>
    </w:p>
    <w:p w:rsidR="00C55238" w:rsidRDefault="00C55238" w:rsidP="00C55238">
      <w:pPr>
        <w:spacing w:after="0"/>
        <w:ind w:right="20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Curtea de Apel Chișinău – 99,80%;                     </w:t>
      </w:r>
      <w:r w:rsidR="00804043">
        <w:rPr>
          <w:rFonts w:ascii="Times New Roman" w:hAnsi="Times New Roman" w:cs="Times New Roman"/>
          <w:sz w:val="24"/>
          <w:szCs w:val="24"/>
          <w:lang w:val="ro-RO"/>
        </w:rPr>
        <w:t>Judecătoria Strășeni – 90,90%;</w:t>
      </w:r>
    </w:p>
    <w:p w:rsidR="00C55238" w:rsidRDefault="00C55238" w:rsidP="00C55238">
      <w:pPr>
        <w:spacing w:after="0"/>
        <w:ind w:right="20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Curtea de Apel Bălți – 99,78%;</w:t>
      </w:r>
      <w:r w:rsidR="00804043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Judecătoria Căușeni – 90,64%;</w:t>
      </w:r>
    </w:p>
    <w:p w:rsidR="00C55238" w:rsidRDefault="00C55238" w:rsidP="00367C7D">
      <w:pPr>
        <w:spacing w:after="0"/>
        <w:ind w:right="20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Judecătoria Anenii Noi – 99,76%;                       </w:t>
      </w:r>
      <w:r w:rsidRPr="00C5523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04043">
        <w:rPr>
          <w:rFonts w:ascii="Times New Roman" w:hAnsi="Times New Roman" w:cs="Times New Roman"/>
          <w:sz w:val="24"/>
          <w:szCs w:val="24"/>
          <w:lang w:val="ro-RO"/>
        </w:rPr>
        <w:t>Judecătoria Soroca – 90,</w:t>
      </w:r>
      <w:r w:rsidR="001D7E06">
        <w:rPr>
          <w:rFonts w:ascii="Times New Roman" w:hAnsi="Times New Roman" w:cs="Times New Roman"/>
          <w:sz w:val="24"/>
          <w:szCs w:val="24"/>
          <w:lang w:val="ro-RO"/>
        </w:rPr>
        <w:t>53%.</w:t>
      </w:r>
    </w:p>
    <w:p w:rsidR="00C55238" w:rsidRDefault="00C55238" w:rsidP="00367C7D">
      <w:pPr>
        <w:spacing w:after="0"/>
        <w:ind w:right="207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Judecătoria Edineț  – 99,13</w:t>
      </w:r>
      <w:r w:rsidR="001D7E06">
        <w:rPr>
          <w:rFonts w:ascii="Times New Roman" w:hAnsi="Times New Roman" w:cs="Times New Roman"/>
          <w:sz w:val="24"/>
          <w:szCs w:val="24"/>
          <w:lang w:val="ro-RO"/>
        </w:rPr>
        <w:t>%.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</w:t>
      </w:r>
    </w:p>
    <w:p w:rsidR="007D1A3F" w:rsidRDefault="007D1A3F" w:rsidP="002B4A05">
      <w:pPr>
        <w:spacing w:after="0"/>
        <w:ind w:right="207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C55238" w:rsidRPr="007D1A3F" w:rsidRDefault="00C55238" w:rsidP="002B4A05">
      <w:pPr>
        <w:spacing w:after="0"/>
        <w:ind w:right="207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7D1A3F" w:rsidRPr="007D1A3F" w:rsidRDefault="007D1A3F" w:rsidP="002B4A05">
      <w:pPr>
        <w:spacing w:after="0"/>
        <w:ind w:right="207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tbl>
      <w:tblPr>
        <w:tblW w:w="9433" w:type="dxa"/>
        <w:tblInd w:w="118" w:type="dxa"/>
        <w:tblLook w:val="04A0"/>
      </w:tblPr>
      <w:tblGrid>
        <w:gridCol w:w="1971"/>
        <w:gridCol w:w="1522"/>
        <w:gridCol w:w="910"/>
        <w:gridCol w:w="885"/>
        <w:gridCol w:w="1893"/>
        <w:gridCol w:w="1198"/>
        <w:gridCol w:w="1074"/>
      </w:tblGrid>
      <w:tr w:rsidR="00F1532C" w:rsidRPr="00F1532C" w:rsidTr="00813BFE">
        <w:trPr>
          <w:trHeight w:val="315"/>
        </w:trPr>
        <w:tc>
          <w:tcPr>
            <w:tcW w:w="8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F153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Informația privind publicarea hotărîrilor (pe dosare) pentru fiecare instanță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F1532C" w:rsidRPr="00F1532C" w:rsidTr="00813BFE">
        <w:trPr>
          <w:trHeight w:val="315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32C" w:rsidRPr="00F1532C" w:rsidRDefault="00F1532C" w:rsidP="00F1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Tabelul nr. 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Instanța de judecată</w:t>
            </w:r>
          </w:p>
        </w:tc>
        <w:tc>
          <w:tcPr>
            <w:tcW w:w="1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Statutul Hotărîrilor</w:t>
            </w:r>
          </w:p>
        </w:tc>
        <w:tc>
          <w:tcPr>
            <w:tcW w:w="3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Tipul dosarului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Numarul total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</w:p>
        </w:tc>
      </w:tr>
      <w:tr w:rsidR="00F1532C" w:rsidRPr="00F1532C" w:rsidTr="00813BFE">
        <w:trPr>
          <w:trHeight w:val="645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Civil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Penal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Contravențional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Judecătoria Chișinău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97,30%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2,70%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Judecătoria Criuleni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94,28%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5,72%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Judecătoria Hîncești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93,35%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6,65%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Judecătoria Orhei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97,33%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2,67%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Judecătoria Anenii Noi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99,92%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Judecătoria Căușeni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95,98%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4,02%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Judecătoria Bălți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96,75%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Judecătoria Drochia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99,44%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Judecătoria Edineț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99,20%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Judecătoria Soroca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96,10%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3,90%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Judecătoria Strășeni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91,67%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Judecătoria Ungheni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99,08%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Judecătoria Cahul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97,64%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2,36%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Judecătoria Comrat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98,02%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Judecătoria Cimișlia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76,79%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23,21%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Curtea de Apel Chișinău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22864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95,58%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4,42%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Curtea de Apel Bălți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95,01%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4,99%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Curtea de Apel Cahul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93467B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100,00</w:t>
            </w:r>
            <w:r w:rsidR="00F1532C"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93467B" w:rsidRDefault="0093467B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93467B" w:rsidRDefault="0093467B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93467B" w:rsidRDefault="0093467B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93467B" w:rsidRDefault="0093467B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93467B" w:rsidP="009346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0</w:t>
            </w:r>
            <w:r w:rsidR="00F1532C"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00</w:t>
            </w:r>
            <w:r w:rsidR="00F1532C"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Curtea de Apel Comrat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89,47%</w:t>
            </w:r>
          </w:p>
        </w:tc>
      </w:tr>
      <w:tr w:rsidR="00F1532C" w:rsidRPr="00F1532C" w:rsidTr="00813BFE">
        <w:trPr>
          <w:trHeight w:val="330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10,53%</w:t>
            </w:r>
          </w:p>
        </w:tc>
      </w:tr>
      <w:tr w:rsidR="00F1532C" w:rsidRPr="00F1532C" w:rsidTr="00813BFE">
        <w:trPr>
          <w:trHeight w:val="345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93316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21921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150316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1532C" w:rsidRPr="00F1532C" w:rsidTr="00813BFE">
        <w:trPr>
          <w:trHeight w:val="345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nepublicat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93467B" w:rsidRDefault="0093467B" w:rsidP="00F153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430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93467B" w:rsidP="009346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1094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9346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 w:rsidR="00934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1</w:t>
            </w:r>
            <w:r w:rsidRPr="00F15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93467B" w:rsidRDefault="0093467B" w:rsidP="009346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o-RO"/>
              </w:rPr>
              <w:t>5</w:t>
            </w:r>
            <w:r w:rsidR="00F1532C" w:rsidRPr="00F1532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o-RO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32C" w:rsidRPr="00F1532C" w:rsidRDefault="00F1532C" w:rsidP="00F153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43503" w:rsidRDefault="00943503" w:rsidP="00120815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82E44" w:rsidRDefault="003C7CA8" w:rsidP="00120815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56446E">
        <w:rPr>
          <w:rFonts w:ascii="Times New Roman" w:hAnsi="Times New Roman" w:cs="Times New Roman"/>
          <w:color w:val="000000"/>
          <w:sz w:val="24"/>
          <w:szCs w:val="24"/>
          <w:lang w:val="ro-RO"/>
        </w:rPr>
        <w:t>Concluzie: Ca rezultat al examinării ratei de publicare a hotărîrilor</w:t>
      </w:r>
      <w:r w:rsidR="005E0F1B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(pentru dosare civile, penale, contravenționale)</w:t>
      </w:r>
      <w:r w:rsidRPr="0056446E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per instanțe de judecată</w:t>
      </w:r>
      <w:r w:rsidR="00DE4021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</w:t>
      </w:r>
      <w:r w:rsidR="007850B3" w:rsidRPr="0056446E">
        <w:rPr>
          <w:rFonts w:ascii="Times New Roman" w:hAnsi="Times New Roman" w:cs="Times New Roman"/>
          <w:color w:val="000000"/>
          <w:sz w:val="24"/>
          <w:szCs w:val="24"/>
          <w:lang w:val="ro-RO"/>
        </w:rPr>
        <w:t>e</w:t>
      </w:r>
      <w:r w:rsidR="00DE4021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atestă</w:t>
      </w:r>
      <w:r w:rsidR="007850B3" w:rsidRPr="0056446E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că instanțele cu cea mai mare </w:t>
      </w:r>
      <w:r w:rsidR="0043376A" w:rsidRPr="0056446E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rată de publicare </w:t>
      </w:r>
      <w:r w:rsidR="00382E44">
        <w:rPr>
          <w:rFonts w:ascii="Times New Roman" w:hAnsi="Times New Roman" w:cs="Times New Roman"/>
          <w:color w:val="000000"/>
          <w:sz w:val="24"/>
          <w:szCs w:val="24"/>
          <w:lang w:val="ro-RO"/>
        </w:rPr>
        <w:t>sunt:</w:t>
      </w:r>
    </w:p>
    <w:p w:rsidR="00120815" w:rsidRDefault="0093467B" w:rsidP="00120815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Curtea de Apel Cahul – 100,00%</w:t>
      </w:r>
    </w:p>
    <w:p w:rsidR="00367C7D" w:rsidRDefault="003A5CAB" w:rsidP="00367C7D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367C7D">
        <w:rPr>
          <w:rFonts w:ascii="Times New Roman" w:hAnsi="Times New Roman" w:cs="Times New Roman"/>
          <w:color w:val="000000"/>
          <w:sz w:val="24"/>
          <w:szCs w:val="24"/>
          <w:lang w:val="ro-RO"/>
        </w:rPr>
        <w:t>Judecătoria</w:t>
      </w:r>
      <w:r w:rsidR="004C7DF1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Anenii Noi</w:t>
      </w:r>
      <w:r w:rsidR="00BF4CA6" w:rsidRPr="00BF4CA6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367C7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– </w:t>
      </w:r>
      <w:r w:rsidR="001D7E06">
        <w:rPr>
          <w:rFonts w:ascii="Times New Roman" w:hAnsi="Times New Roman" w:cs="Times New Roman"/>
          <w:color w:val="000000"/>
          <w:sz w:val="24"/>
          <w:szCs w:val="24"/>
          <w:lang w:val="ro-RO"/>
        </w:rPr>
        <w:t>99,92</w:t>
      </w:r>
      <w:r w:rsidRPr="00367C7D">
        <w:rPr>
          <w:rFonts w:ascii="Times New Roman" w:hAnsi="Times New Roman" w:cs="Times New Roman"/>
          <w:color w:val="000000"/>
          <w:sz w:val="24"/>
          <w:szCs w:val="24"/>
          <w:lang w:val="ro-RO"/>
        </w:rPr>
        <w:t>%;</w:t>
      </w:r>
      <w:r w:rsidR="00367C7D" w:rsidRPr="00367C7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                                      </w:t>
      </w:r>
    </w:p>
    <w:p w:rsidR="00367C7D" w:rsidRDefault="005B01C4" w:rsidP="00367C7D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Judecătoria </w:t>
      </w:r>
      <w:r w:rsidR="004C7DF1" w:rsidRPr="00367C7D">
        <w:rPr>
          <w:rFonts w:ascii="Times New Roman" w:hAnsi="Times New Roman" w:cs="Times New Roman"/>
          <w:color w:val="000000"/>
          <w:sz w:val="24"/>
          <w:szCs w:val="24"/>
          <w:lang w:val="ro-RO"/>
        </w:rPr>
        <w:t>Drochia</w:t>
      </w:r>
      <w:r w:rsidR="00CE4FC5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4C7DF1">
        <w:rPr>
          <w:rFonts w:ascii="Times New Roman" w:hAnsi="Times New Roman" w:cs="Times New Roman"/>
          <w:color w:val="000000"/>
          <w:sz w:val="24"/>
          <w:szCs w:val="24"/>
          <w:lang w:val="ro-RO"/>
        </w:rPr>
        <w:t>– 99,</w:t>
      </w:r>
      <w:r w:rsidR="001D7E06">
        <w:rPr>
          <w:rFonts w:ascii="Times New Roman" w:hAnsi="Times New Roman" w:cs="Times New Roman"/>
          <w:color w:val="000000"/>
          <w:sz w:val="24"/>
          <w:szCs w:val="24"/>
          <w:lang w:val="ro-RO"/>
        </w:rPr>
        <w:t>44</w:t>
      </w:r>
      <w:r w:rsidRPr="004C7DF1">
        <w:rPr>
          <w:rFonts w:ascii="Times New Roman" w:hAnsi="Times New Roman" w:cs="Times New Roman"/>
          <w:color w:val="000000"/>
          <w:sz w:val="24"/>
          <w:szCs w:val="24"/>
          <w:lang w:val="ro-RO"/>
        </w:rPr>
        <w:t>%;</w:t>
      </w:r>
    </w:p>
    <w:p w:rsidR="001D7E06" w:rsidRPr="004C7DF1" w:rsidRDefault="001D7E06" w:rsidP="001D7E06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4C7DF1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Judecătoria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Edineț</w:t>
      </w:r>
      <w:r w:rsidRPr="00367C7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– 99,20</w:t>
      </w:r>
      <w:r w:rsidRPr="00367C7D">
        <w:rPr>
          <w:rFonts w:ascii="Times New Roman" w:hAnsi="Times New Roman" w:cs="Times New Roman"/>
          <w:color w:val="000000"/>
          <w:sz w:val="24"/>
          <w:szCs w:val="24"/>
          <w:lang w:val="ro-RO"/>
        </w:rPr>
        <w:t>%;</w:t>
      </w:r>
    </w:p>
    <w:p w:rsidR="001D7E06" w:rsidRPr="001D7E06" w:rsidRDefault="001D7E06" w:rsidP="001D7E06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367C7D">
        <w:rPr>
          <w:rFonts w:ascii="Times New Roman" w:hAnsi="Times New Roman" w:cs="Times New Roman"/>
          <w:color w:val="000000"/>
          <w:sz w:val="24"/>
          <w:szCs w:val="24"/>
          <w:lang w:val="ro-RO"/>
        </w:rPr>
        <w:t>Judecătoria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Ungheni- 99,08%.</w:t>
      </w:r>
    </w:p>
    <w:p w:rsidR="00E47CC9" w:rsidRPr="004C7DF1" w:rsidRDefault="005B01C4" w:rsidP="00E47CC9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                                           </w:t>
      </w:r>
    </w:p>
    <w:p w:rsidR="004C7DF1" w:rsidRPr="001D7E06" w:rsidRDefault="004C7DF1" w:rsidP="006B6F0C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382E44" w:rsidRDefault="00DE4021" w:rsidP="003F1BB6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382E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nstanțele care au obținut un procentaj mai mic </w:t>
      </w:r>
      <w:r w:rsidR="00382E44" w:rsidRPr="0056446E">
        <w:rPr>
          <w:rFonts w:ascii="Times New Roman" w:hAnsi="Times New Roman" w:cs="Times New Roman"/>
          <w:lang w:val="ro-RO"/>
        </w:rPr>
        <w:t>de publicare a hotărîrilor  sunt:</w:t>
      </w:r>
    </w:p>
    <w:p w:rsidR="001D7E06" w:rsidRDefault="001D7E06" w:rsidP="003F1BB6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lang w:val="ro-RO"/>
        </w:rPr>
      </w:pPr>
    </w:p>
    <w:p w:rsidR="001D7E06" w:rsidRDefault="001D7E06" w:rsidP="001D7E06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Judecătoria Strășeni – 91,67;</w:t>
      </w:r>
    </w:p>
    <w:p w:rsidR="001D7E06" w:rsidRDefault="0093467B" w:rsidP="001D7E06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Curtea de Apel Comrat – 89 </w:t>
      </w:r>
      <w:r w:rsidR="001D7E06">
        <w:rPr>
          <w:rFonts w:ascii="Times New Roman" w:hAnsi="Times New Roman" w:cs="Times New Roman"/>
          <w:color w:val="000000"/>
          <w:sz w:val="24"/>
          <w:szCs w:val="24"/>
          <w:lang w:val="en-US"/>
        </w:rPr>
        <w:t>,47%;</w:t>
      </w:r>
    </w:p>
    <w:p w:rsidR="008B693E" w:rsidRDefault="008B693E" w:rsidP="008B693E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Judecătoria Cimișlia – </w:t>
      </w:r>
      <w:r w:rsidR="001D7E06">
        <w:rPr>
          <w:rFonts w:ascii="Times New Roman" w:hAnsi="Times New Roman" w:cs="Times New Roman"/>
          <w:color w:val="000000"/>
          <w:sz w:val="24"/>
          <w:szCs w:val="24"/>
          <w:lang w:val="ro-RO"/>
        </w:rPr>
        <w:t>76,79%.</w:t>
      </w:r>
    </w:p>
    <w:p w:rsidR="001D7E06" w:rsidRDefault="001D7E06" w:rsidP="00A868DF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D7E06" w:rsidRDefault="001D7E06" w:rsidP="00A868DF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lang w:val="ro-RO"/>
        </w:rPr>
      </w:pPr>
    </w:p>
    <w:p w:rsidR="00A868DF" w:rsidRDefault="00A868DF" w:rsidP="00120815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3C7CA8" w:rsidRDefault="00DF3F8C" w:rsidP="00382E44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7229A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Recomandări:</w:t>
      </w:r>
      <w:r w:rsidR="007229A7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</w:p>
    <w:p w:rsidR="006362DB" w:rsidRDefault="006E41CC" w:rsidP="006E41CC">
      <w:pPr>
        <w:numPr>
          <w:ilvl w:val="0"/>
          <w:numId w:val="2"/>
        </w:num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EF410D">
        <w:rPr>
          <w:rFonts w:ascii="Times New Roman" w:hAnsi="Times New Roman" w:cs="Times New Roman"/>
          <w:color w:val="000000"/>
          <w:sz w:val="24"/>
          <w:szCs w:val="24"/>
          <w:lang w:val="ro-RO"/>
        </w:rPr>
        <w:t>a</w:t>
      </w:r>
      <w:r w:rsidR="003C7CA8" w:rsidRPr="003C7CA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sigurarea </w:t>
      </w:r>
      <w:r w:rsidR="003C7CA8">
        <w:rPr>
          <w:rFonts w:ascii="Times New Roman" w:hAnsi="Times New Roman" w:cs="Times New Roman"/>
          <w:color w:val="000000"/>
          <w:sz w:val="24"/>
          <w:szCs w:val="24"/>
          <w:lang w:val="ro-RO"/>
        </w:rPr>
        <w:t>publicării</w:t>
      </w:r>
      <w:r w:rsidR="00C712D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de către asistenții judiciari a</w:t>
      </w:r>
      <w:r w:rsidR="003C7CA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hotărîrilor și încheierilor pe PNIJ </w:t>
      </w:r>
      <w:r w:rsidR="00064E41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cu </w:t>
      </w:r>
      <w:r w:rsidR="006362DB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</w:t>
      </w:r>
      <w:r w:rsidR="00064E41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respectarea prevederilor în vigoare în procesul de publicare a acestora; </w:t>
      </w:r>
    </w:p>
    <w:p w:rsidR="006E41CC" w:rsidRDefault="006E41CC" w:rsidP="006E41CC">
      <w:pPr>
        <w:pStyle w:val="a3"/>
        <w:numPr>
          <w:ilvl w:val="0"/>
          <w:numId w:val="2"/>
        </w:numPr>
        <w:tabs>
          <w:tab w:val="left" w:pos="945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lastRenderedPageBreak/>
        <w:t xml:space="preserve"> </w:t>
      </w:r>
      <w:r w:rsidR="006362DB" w:rsidRPr="006E41CC">
        <w:rPr>
          <w:rFonts w:ascii="Times New Roman" w:hAnsi="Times New Roman" w:cs="Times New Roman"/>
          <w:color w:val="000000"/>
          <w:sz w:val="24"/>
          <w:szCs w:val="24"/>
          <w:lang w:val="ro-RO"/>
        </w:rPr>
        <w:t>verificarea de către judecător</w:t>
      </w:r>
      <w:r w:rsidR="00B44B63">
        <w:rPr>
          <w:rFonts w:ascii="Times New Roman" w:hAnsi="Times New Roman" w:cs="Times New Roman"/>
          <w:color w:val="000000"/>
          <w:sz w:val="24"/>
          <w:szCs w:val="24"/>
          <w:lang w:val="ro-RO"/>
        </w:rPr>
        <w:t>i</w:t>
      </w:r>
      <w:r w:rsidR="006362DB" w:rsidRPr="006E41CC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a asistenților judiciari în activitatea de publicare a hotărîrilor judecătorești în conformitate</w:t>
      </w:r>
      <w:r w:rsidRPr="006E41CC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cu punct. 16 al Regulamentului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aprobat prin Hotărîrea CSM nr 658/30 din </w:t>
      </w:r>
      <w:r w:rsidR="00D853ED">
        <w:rPr>
          <w:rFonts w:ascii="Times New Roman" w:hAnsi="Times New Roman" w:cs="Times New Roman"/>
          <w:color w:val="000000"/>
          <w:sz w:val="24"/>
          <w:szCs w:val="24"/>
          <w:lang w:val="ro-RO"/>
        </w:rPr>
        <w:t>10.10.2017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6E41CC">
        <w:rPr>
          <w:rFonts w:ascii="Times New Roman" w:hAnsi="Times New Roman" w:cs="Times New Roman"/>
          <w:color w:val="000000"/>
          <w:sz w:val="24"/>
          <w:szCs w:val="24"/>
          <w:lang w:val="ro-RO"/>
        </w:rPr>
        <w:t>;</w:t>
      </w:r>
    </w:p>
    <w:p w:rsidR="00DB15E6" w:rsidRPr="006E41CC" w:rsidRDefault="006E41CC" w:rsidP="006E41CC">
      <w:pPr>
        <w:pStyle w:val="a3"/>
        <w:numPr>
          <w:ilvl w:val="0"/>
          <w:numId w:val="2"/>
        </w:numPr>
        <w:tabs>
          <w:tab w:val="left" w:pos="945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EF410D" w:rsidRPr="006E41CC">
        <w:rPr>
          <w:rFonts w:ascii="Times New Roman" w:hAnsi="Times New Roman" w:cs="Times New Roman"/>
          <w:color w:val="000000"/>
          <w:sz w:val="24"/>
          <w:szCs w:val="24"/>
          <w:lang w:val="ro-RO"/>
        </w:rPr>
        <w:t>m</w:t>
      </w:r>
      <w:r w:rsidR="00DF3F8C" w:rsidRPr="006E41CC">
        <w:rPr>
          <w:rFonts w:ascii="Times New Roman" w:hAnsi="Times New Roman" w:cs="Times New Roman"/>
          <w:color w:val="000000"/>
          <w:sz w:val="24"/>
          <w:szCs w:val="24"/>
          <w:lang w:val="ro-RO"/>
        </w:rPr>
        <w:t>onitorizarea</w:t>
      </w:r>
      <w:r w:rsidR="00EF410D" w:rsidRPr="006E41CC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DF3F8C" w:rsidRPr="006E41CC">
        <w:rPr>
          <w:rFonts w:ascii="Times New Roman" w:hAnsi="Times New Roman" w:cs="Times New Roman"/>
          <w:color w:val="000000"/>
          <w:sz w:val="24"/>
          <w:szCs w:val="24"/>
          <w:lang w:val="ro-RO"/>
        </w:rPr>
        <w:t>cu regularitate a salvării de către utilizatorii PIGD</w:t>
      </w:r>
      <w:r w:rsidR="00D43220" w:rsidRPr="006E41CC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DF3F8C" w:rsidRPr="006E41CC">
        <w:rPr>
          <w:rFonts w:ascii="Times New Roman" w:hAnsi="Times New Roman" w:cs="Times New Roman"/>
          <w:color w:val="000000"/>
          <w:sz w:val="24"/>
          <w:szCs w:val="24"/>
          <w:lang w:val="ro-RO"/>
        </w:rPr>
        <w:t>din instanțe a</w:t>
      </w:r>
      <w:r w:rsidR="00D43220" w:rsidRPr="006E41CC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încheierilor,</w:t>
      </w:r>
      <w:r w:rsidR="00DF3F8C" w:rsidRPr="006E41CC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hotărîrilor potrivit ”Ghidul</w:t>
      </w:r>
      <w:r w:rsidR="00DB15E6" w:rsidRPr="006E41CC">
        <w:rPr>
          <w:rFonts w:ascii="Times New Roman" w:hAnsi="Times New Roman" w:cs="Times New Roman"/>
          <w:color w:val="000000"/>
          <w:sz w:val="24"/>
          <w:szCs w:val="24"/>
          <w:lang w:val="ro-RO"/>
        </w:rPr>
        <w:t>ui</w:t>
      </w:r>
      <w:r w:rsidR="00DF3F8C" w:rsidRPr="006E41CC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utilizatorului”</w:t>
      </w:r>
      <w:r w:rsidR="00DB15E6" w:rsidRPr="006E41CC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și </w:t>
      </w:r>
      <w:r w:rsidR="006362DB" w:rsidRPr="006E41CC">
        <w:rPr>
          <w:rFonts w:ascii="Times New Roman" w:hAnsi="Times New Roman" w:cs="Times New Roman"/>
          <w:color w:val="000000"/>
          <w:sz w:val="24"/>
          <w:szCs w:val="24"/>
          <w:lang w:val="ro-RO"/>
        </w:rPr>
        <w:t>actelor normative în vigoare;</w:t>
      </w:r>
    </w:p>
    <w:p w:rsidR="006362DB" w:rsidRDefault="00B44B63" w:rsidP="006E41CC">
      <w:pPr>
        <w:pStyle w:val="a3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efectuarea m</w:t>
      </w:r>
      <w:r w:rsidR="00DF3F8C" w:rsidRPr="006362DB">
        <w:rPr>
          <w:rFonts w:ascii="Times New Roman" w:hAnsi="Times New Roman" w:cs="Times New Roman"/>
          <w:color w:val="000000"/>
          <w:sz w:val="24"/>
          <w:szCs w:val="24"/>
          <w:lang w:val="ro-RO"/>
        </w:rPr>
        <w:t>onitoriz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ării și a</w:t>
      </w:r>
      <w:r w:rsidR="006362DB" w:rsidRPr="006362DB">
        <w:rPr>
          <w:rFonts w:ascii="Times New Roman" w:hAnsi="Times New Roman" w:cs="Times New Roman"/>
          <w:color w:val="000000"/>
          <w:sz w:val="24"/>
          <w:szCs w:val="24"/>
          <w:lang w:val="ro-RO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alizei comparative de către </w:t>
      </w:r>
      <w:r w:rsidR="006362DB" w:rsidRPr="006362DB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AAIJ </w:t>
      </w:r>
      <w:r w:rsidR="00EF410D" w:rsidRPr="006362DB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 numărului </w:t>
      </w:r>
      <w:r w:rsidR="00DF3F8C" w:rsidRPr="006362DB">
        <w:rPr>
          <w:rFonts w:ascii="Times New Roman" w:hAnsi="Times New Roman" w:cs="Times New Roman"/>
          <w:color w:val="000000"/>
          <w:sz w:val="24"/>
          <w:szCs w:val="24"/>
          <w:lang w:val="ro-RO"/>
        </w:rPr>
        <w:t>total de</w:t>
      </w:r>
      <w:r w:rsidR="003739FA" w:rsidRPr="006362DB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încheierii</w:t>
      </w:r>
      <w:r w:rsidR="00D43220" w:rsidRPr="006362DB">
        <w:rPr>
          <w:rFonts w:ascii="Times New Roman" w:hAnsi="Times New Roman" w:cs="Times New Roman"/>
          <w:color w:val="000000"/>
          <w:sz w:val="24"/>
          <w:szCs w:val="24"/>
          <w:lang w:val="ro-RO"/>
        </w:rPr>
        <w:t>,</w:t>
      </w:r>
      <w:r w:rsidR="00DF3F8C" w:rsidRPr="006362DB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hotărîri judecătorești publicate în PIGD și transmise spre publicare pe </w:t>
      </w:r>
      <w:r w:rsidR="00CD77FD">
        <w:rPr>
          <w:rFonts w:ascii="Times New Roman" w:hAnsi="Times New Roman" w:cs="Times New Roman"/>
          <w:color w:val="000000"/>
          <w:sz w:val="24"/>
          <w:szCs w:val="24"/>
          <w:lang w:val="ro-RO"/>
        </w:rPr>
        <w:t>PNIJ</w:t>
      </w:r>
      <w:r w:rsidR="006362DB" w:rsidRPr="006362DB">
        <w:rPr>
          <w:rFonts w:ascii="Times New Roman" w:hAnsi="Times New Roman" w:cs="Times New Roman"/>
          <w:color w:val="000000"/>
          <w:sz w:val="24"/>
          <w:szCs w:val="24"/>
          <w:lang w:val="ro-RO"/>
        </w:rPr>
        <w:t>,</w:t>
      </w:r>
      <w:r w:rsidR="003739FA" w:rsidRPr="006362DB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cu</w:t>
      </w:r>
      <w:r w:rsidR="00DF3F8C" w:rsidRPr="006362DB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6362DB" w:rsidRPr="006362DB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publicarea rapoartelor și </w:t>
      </w:r>
      <w:r w:rsidR="00DF3F8C" w:rsidRPr="006362DB">
        <w:rPr>
          <w:rFonts w:ascii="Times New Roman" w:hAnsi="Times New Roman" w:cs="Times New Roman"/>
          <w:color w:val="000000"/>
          <w:sz w:val="24"/>
          <w:szCs w:val="24"/>
          <w:lang w:val="ro-RO"/>
        </w:rPr>
        <w:t>informare</w:t>
      </w:r>
      <w:r w:rsidR="003739FA" w:rsidRPr="006362DB">
        <w:rPr>
          <w:rFonts w:ascii="Times New Roman" w:hAnsi="Times New Roman" w:cs="Times New Roman"/>
          <w:color w:val="000000"/>
          <w:sz w:val="24"/>
          <w:szCs w:val="24"/>
          <w:lang w:val="ro-RO"/>
        </w:rPr>
        <w:t>a</w:t>
      </w:r>
      <w:r w:rsidR="00DF3F8C" w:rsidRPr="006362DB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instanțelor de judecată privind gradul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de </w:t>
      </w:r>
      <w:r w:rsidR="00DF3F8C" w:rsidRPr="006362DB">
        <w:rPr>
          <w:rFonts w:ascii="Times New Roman" w:hAnsi="Times New Roman" w:cs="Times New Roman"/>
          <w:color w:val="000000"/>
          <w:sz w:val="24"/>
          <w:szCs w:val="24"/>
          <w:lang w:val="ro-RO"/>
        </w:rPr>
        <w:t>public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are a </w:t>
      </w:r>
      <w:r w:rsidR="00DF3F8C" w:rsidRPr="006362DB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hotărîrilor judecătorești</w:t>
      </w:r>
      <w:r w:rsidR="00CD77FD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:rsidR="00DF3F8C" w:rsidRPr="006E41CC" w:rsidRDefault="00DF3F8C" w:rsidP="006E41CC">
      <w:pPr>
        <w:tabs>
          <w:tab w:val="left" w:pos="945"/>
        </w:tabs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sectPr w:rsidR="00DF3F8C" w:rsidRPr="006E41CC" w:rsidSect="00FA1366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0647F"/>
    <w:multiLevelType w:val="hybridMultilevel"/>
    <w:tmpl w:val="8382B70A"/>
    <w:lvl w:ilvl="0" w:tplc="A72AA5DE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D07359"/>
    <w:multiLevelType w:val="hybridMultilevel"/>
    <w:tmpl w:val="C1986C38"/>
    <w:lvl w:ilvl="0" w:tplc="524EE088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11249D"/>
    <w:rsid w:val="00001B33"/>
    <w:rsid w:val="00003FCB"/>
    <w:rsid w:val="00004C54"/>
    <w:rsid w:val="0000703E"/>
    <w:rsid w:val="00010FEE"/>
    <w:rsid w:val="000116E4"/>
    <w:rsid w:val="0001416C"/>
    <w:rsid w:val="000149E3"/>
    <w:rsid w:val="000208A7"/>
    <w:rsid w:val="0002138B"/>
    <w:rsid w:val="000232F7"/>
    <w:rsid w:val="00025BC6"/>
    <w:rsid w:val="000275FD"/>
    <w:rsid w:val="00032079"/>
    <w:rsid w:val="0003226C"/>
    <w:rsid w:val="00037206"/>
    <w:rsid w:val="0003734F"/>
    <w:rsid w:val="00042EB7"/>
    <w:rsid w:val="00043A5C"/>
    <w:rsid w:val="00044EDD"/>
    <w:rsid w:val="00045463"/>
    <w:rsid w:val="00051281"/>
    <w:rsid w:val="00054EA3"/>
    <w:rsid w:val="000617FD"/>
    <w:rsid w:val="0006333D"/>
    <w:rsid w:val="00063F9B"/>
    <w:rsid w:val="0006422D"/>
    <w:rsid w:val="00064E41"/>
    <w:rsid w:val="00070AD1"/>
    <w:rsid w:val="00075DC7"/>
    <w:rsid w:val="000819DC"/>
    <w:rsid w:val="000909AE"/>
    <w:rsid w:val="000A49F9"/>
    <w:rsid w:val="000A5441"/>
    <w:rsid w:val="000A59F5"/>
    <w:rsid w:val="000A6531"/>
    <w:rsid w:val="000B5DAC"/>
    <w:rsid w:val="000C2F75"/>
    <w:rsid w:val="000C54ED"/>
    <w:rsid w:val="000C5543"/>
    <w:rsid w:val="000C74EF"/>
    <w:rsid w:val="000D3AF2"/>
    <w:rsid w:val="000D5B5B"/>
    <w:rsid w:val="000E3FB6"/>
    <w:rsid w:val="000E4B5A"/>
    <w:rsid w:val="000E7E20"/>
    <w:rsid w:val="000F018F"/>
    <w:rsid w:val="000F6F9C"/>
    <w:rsid w:val="001019A1"/>
    <w:rsid w:val="00101DED"/>
    <w:rsid w:val="00104EC2"/>
    <w:rsid w:val="0011249D"/>
    <w:rsid w:val="00116AC4"/>
    <w:rsid w:val="00120815"/>
    <w:rsid w:val="001241C8"/>
    <w:rsid w:val="001258C3"/>
    <w:rsid w:val="00132AC5"/>
    <w:rsid w:val="001373C8"/>
    <w:rsid w:val="00137437"/>
    <w:rsid w:val="00140F85"/>
    <w:rsid w:val="00141804"/>
    <w:rsid w:val="00145117"/>
    <w:rsid w:val="001506C3"/>
    <w:rsid w:val="00150A15"/>
    <w:rsid w:val="001514EC"/>
    <w:rsid w:val="00152E85"/>
    <w:rsid w:val="00154007"/>
    <w:rsid w:val="00161013"/>
    <w:rsid w:val="00170A0E"/>
    <w:rsid w:val="00171EE0"/>
    <w:rsid w:val="00172C4A"/>
    <w:rsid w:val="0017498D"/>
    <w:rsid w:val="001758EB"/>
    <w:rsid w:val="0017602C"/>
    <w:rsid w:val="00181FAC"/>
    <w:rsid w:val="00183874"/>
    <w:rsid w:val="00184365"/>
    <w:rsid w:val="001861BE"/>
    <w:rsid w:val="001873DB"/>
    <w:rsid w:val="0018757E"/>
    <w:rsid w:val="00191299"/>
    <w:rsid w:val="001922B3"/>
    <w:rsid w:val="00193227"/>
    <w:rsid w:val="001A0018"/>
    <w:rsid w:val="001A1625"/>
    <w:rsid w:val="001A3B41"/>
    <w:rsid w:val="001A4934"/>
    <w:rsid w:val="001B217A"/>
    <w:rsid w:val="001B35E0"/>
    <w:rsid w:val="001B5739"/>
    <w:rsid w:val="001B6DA1"/>
    <w:rsid w:val="001C73E7"/>
    <w:rsid w:val="001C76DE"/>
    <w:rsid w:val="001D3E27"/>
    <w:rsid w:val="001D7E06"/>
    <w:rsid w:val="001E3121"/>
    <w:rsid w:val="001E4725"/>
    <w:rsid w:val="001E4963"/>
    <w:rsid w:val="001E4A6B"/>
    <w:rsid w:val="001E5CA9"/>
    <w:rsid w:val="00200DCF"/>
    <w:rsid w:val="00200FDF"/>
    <w:rsid w:val="00201B2B"/>
    <w:rsid w:val="00202EC5"/>
    <w:rsid w:val="002035E8"/>
    <w:rsid w:val="0020609F"/>
    <w:rsid w:val="00206B31"/>
    <w:rsid w:val="00210651"/>
    <w:rsid w:val="00211832"/>
    <w:rsid w:val="00216453"/>
    <w:rsid w:val="002322BC"/>
    <w:rsid w:val="002337BB"/>
    <w:rsid w:val="00234556"/>
    <w:rsid w:val="00234D68"/>
    <w:rsid w:val="00240D7C"/>
    <w:rsid w:val="00241712"/>
    <w:rsid w:val="0024253C"/>
    <w:rsid w:val="002455F9"/>
    <w:rsid w:val="00245E53"/>
    <w:rsid w:val="00246050"/>
    <w:rsid w:val="00252510"/>
    <w:rsid w:val="002525F4"/>
    <w:rsid w:val="002543FD"/>
    <w:rsid w:val="00260D00"/>
    <w:rsid w:val="00266B4A"/>
    <w:rsid w:val="00267D2F"/>
    <w:rsid w:val="00277862"/>
    <w:rsid w:val="00294EE7"/>
    <w:rsid w:val="00295771"/>
    <w:rsid w:val="0029654D"/>
    <w:rsid w:val="002A0876"/>
    <w:rsid w:val="002A33A5"/>
    <w:rsid w:val="002B4A05"/>
    <w:rsid w:val="002C4F93"/>
    <w:rsid w:val="002C7035"/>
    <w:rsid w:val="002C794A"/>
    <w:rsid w:val="002D28B4"/>
    <w:rsid w:val="002D5406"/>
    <w:rsid w:val="002D6BD9"/>
    <w:rsid w:val="002E34B5"/>
    <w:rsid w:val="002E3A08"/>
    <w:rsid w:val="002E3F5E"/>
    <w:rsid w:val="002E4680"/>
    <w:rsid w:val="002E6FB2"/>
    <w:rsid w:val="002E7C55"/>
    <w:rsid w:val="002F357B"/>
    <w:rsid w:val="002F3609"/>
    <w:rsid w:val="002F5310"/>
    <w:rsid w:val="00304CEC"/>
    <w:rsid w:val="003058C5"/>
    <w:rsid w:val="00307489"/>
    <w:rsid w:val="0031224D"/>
    <w:rsid w:val="00315362"/>
    <w:rsid w:val="003155ED"/>
    <w:rsid w:val="00315A18"/>
    <w:rsid w:val="00317482"/>
    <w:rsid w:val="003226B6"/>
    <w:rsid w:val="00325F88"/>
    <w:rsid w:val="0032748D"/>
    <w:rsid w:val="003317A2"/>
    <w:rsid w:val="00331D15"/>
    <w:rsid w:val="0033762E"/>
    <w:rsid w:val="00340C38"/>
    <w:rsid w:val="00342153"/>
    <w:rsid w:val="00343A23"/>
    <w:rsid w:val="003445BE"/>
    <w:rsid w:val="00344607"/>
    <w:rsid w:val="0034617B"/>
    <w:rsid w:val="00351B79"/>
    <w:rsid w:val="0035495D"/>
    <w:rsid w:val="00356296"/>
    <w:rsid w:val="0035685B"/>
    <w:rsid w:val="003569A7"/>
    <w:rsid w:val="00363F1A"/>
    <w:rsid w:val="00365F8E"/>
    <w:rsid w:val="003675D2"/>
    <w:rsid w:val="00367C7D"/>
    <w:rsid w:val="00370B5C"/>
    <w:rsid w:val="00371A52"/>
    <w:rsid w:val="00371D9F"/>
    <w:rsid w:val="00372497"/>
    <w:rsid w:val="003728FD"/>
    <w:rsid w:val="003739FA"/>
    <w:rsid w:val="00374263"/>
    <w:rsid w:val="00375324"/>
    <w:rsid w:val="003758A9"/>
    <w:rsid w:val="00382E44"/>
    <w:rsid w:val="00385756"/>
    <w:rsid w:val="00391246"/>
    <w:rsid w:val="00391D01"/>
    <w:rsid w:val="00393B09"/>
    <w:rsid w:val="003949B9"/>
    <w:rsid w:val="003958D2"/>
    <w:rsid w:val="00397311"/>
    <w:rsid w:val="003A3445"/>
    <w:rsid w:val="003A5CAB"/>
    <w:rsid w:val="003B1354"/>
    <w:rsid w:val="003B2238"/>
    <w:rsid w:val="003C47B3"/>
    <w:rsid w:val="003C7CA8"/>
    <w:rsid w:val="003D0013"/>
    <w:rsid w:val="003D0207"/>
    <w:rsid w:val="003D2E53"/>
    <w:rsid w:val="003D2EDA"/>
    <w:rsid w:val="003E2A84"/>
    <w:rsid w:val="003E47B0"/>
    <w:rsid w:val="003E5C54"/>
    <w:rsid w:val="003E6F68"/>
    <w:rsid w:val="003F037D"/>
    <w:rsid w:val="003F117A"/>
    <w:rsid w:val="003F1BB6"/>
    <w:rsid w:val="003F378E"/>
    <w:rsid w:val="003F5D18"/>
    <w:rsid w:val="00402912"/>
    <w:rsid w:val="00402F61"/>
    <w:rsid w:val="00404A0C"/>
    <w:rsid w:val="00404F84"/>
    <w:rsid w:val="00412602"/>
    <w:rsid w:val="00416BA2"/>
    <w:rsid w:val="00417752"/>
    <w:rsid w:val="00421DAA"/>
    <w:rsid w:val="00422D11"/>
    <w:rsid w:val="0042531C"/>
    <w:rsid w:val="00425B91"/>
    <w:rsid w:val="0043376A"/>
    <w:rsid w:val="0043550A"/>
    <w:rsid w:val="004464B0"/>
    <w:rsid w:val="00447DE6"/>
    <w:rsid w:val="00450A76"/>
    <w:rsid w:val="00452C64"/>
    <w:rsid w:val="004567EB"/>
    <w:rsid w:val="00462FED"/>
    <w:rsid w:val="00463889"/>
    <w:rsid w:val="00463F21"/>
    <w:rsid w:val="004659AE"/>
    <w:rsid w:val="004667AB"/>
    <w:rsid w:val="004705AD"/>
    <w:rsid w:val="00472BF3"/>
    <w:rsid w:val="004767AC"/>
    <w:rsid w:val="00476D26"/>
    <w:rsid w:val="00480BC7"/>
    <w:rsid w:val="00484104"/>
    <w:rsid w:val="00484BCA"/>
    <w:rsid w:val="004850EF"/>
    <w:rsid w:val="00491E9E"/>
    <w:rsid w:val="00495791"/>
    <w:rsid w:val="0049598F"/>
    <w:rsid w:val="00496F83"/>
    <w:rsid w:val="004A1ACA"/>
    <w:rsid w:val="004A5EDF"/>
    <w:rsid w:val="004A63D1"/>
    <w:rsid w:val="004B1B70"/>
    <w:rsid w:val="004B2243"/>
    <w:rsid w:val="004B2566"/>
    <w:rsid w:val="004B7AA1"/>
    <w:rsid w:val="004C2F7C"/>
    <w:rsid w:val="004C7DF1"/>
    <w:rsid w:val="004D180D"/>
    <w:rsid w:val="004D31C9"/>
    <w:rsid w:val="004D3711"/>
    <w:rsid w:val="004D3CD9"/>
    <w:rsid w:val="004D4DB0"/>
    <w:rsid w:val="004E3FC2"/>
    <w:rsid w:val="004E49F3"/>
    <w:rsid w:val="004E50AC"/>
    <w:rsid w:val="004F15B0"/>
    <w:rsid w:val="004F5615"/>
    <w:rsid w:val="004F6ADF"/>
    <w:rsid w:val="00505E39"/>
    <w:rsid w:val="005128CC"/>
    <w:rsid w:val="00512BEF"/>
    <w:rsid w:val="005139FB"/>
    <w:rsid w:val="005149B6"/>
    <w:rsid w:val="00514EB1"/>
    <w:rsid w:val="005163AC"/>
    <w:rsid w:val="00517BF2"/>
    <w:rsid w:val="00517FDB"/>
    <w:rsid w:val="00520333"/>
    <w:rsid w:val="00520DA7"/>
    <w:rsid w:val="005237A7"/>
    <w:rsid w:val="005241D3"/>
    <w:rsid w:val="005276A1"/>
    <w:rsid w:val="00527B9D"/>
    <w:rsid w:val="00531940"/>
    <w:rsid w:val="005342EC"/>
    <w:rsid w:val="00535E24"/>
    <w:rsid w:val="00537406"/>
    <w:rsid w:val="00544D1A"/>
    <w:rsid w:val="005549E4"/>
    <w:rsid w:val="00554BB7"/>
    <w:rsid w:val="00554DEE"/>
    <w:rsid w:val="00560ABB"/>
    <w:rsid w:val="0056446E"/>
    <w:rsid w:val="00571A50"/>
    <w:rsid w:val="00572052"/>
    <w:rsid w:val="00574A75"/>
    <w:rsid w:val="00575F05"/>
    <w:rsid w:val="005769F4"/>
    <w:rsid w:val="00577E6D"/>
    <w:rsid w:val="005810F9"/>
    <w:rsid w:val="00583063"/>
    <w:rsid w:val="00583CB0"/>
    <w:rsid w:val="00584F78"/>
    <w:rsid w:val="0058765E"/>
    <w:rsid w:val="00590C98"/>
    <w:rsid w:val="005962EE"/>
    <w:rsid w:val="00596A47"/>
    <w:rsid w:val="005A2CDB"/>
    <w:rsid w:val="005A3887"/>
    <w:rsid w:val="005A4196"/>
    <w:rsid w:val="005A5195"/>
    <w:rsid w:val="005A59ED"/>
    <w:rsid w:val="005A5CC9"/>
    <w:rsid w:val="005A66FB"/>
    <w:rsid w:val="005B01C4"/>
    <w:rsid w:val="005B0E82"/>
    <w:rsid w:val="005B2D58"/>
    <w:rsid w:val="005B44C9"/>
    <w:rsid w:val="005C05B7"/>
    <w:rsid w:val="005C35E2"/>
    <w:rsid w:val="005C44A2"/>
    <w:rsid w:val="005C515D"/>
    <w:rsid w:val="005C57CA"/>
    <w:rsid w:val="005C6589"/>
    <w:rsid w:val="005C6CC7"/>
    <w:rsid w:val="005C730E"/>
    <w:rsid w:val="005C73CA"/>
    <w:rsid w:val="005D06AD"/>
    <w:rsid w:val="005E0F1B"/>
    <w:rsid w:val="005E2149"/>
    <w:rsid w:val="005E2785"/>
    <w:rsid w:val="005E5501"/>
    <w:rsid w:val="005E7E70"/>
    <w:rsid w:val="005F3E1E"/>
    <w:rsid w:val="005F6473"/>
    <w:rsid w:val="00600669"/>
    <w:rsid w:val="00601271"/>
    <w:rsid w:val="00607F45"/>
    <w:rsid w:val="00611112"/>
    <w:rsid w:val="0061321A"/>
    <w:rsid w:val="00613452"/>
    <w:rsid w:val="00620C33"/>
    <w:rsid w:val="00621879"/>
    <w:rsid w:val="00621CCB"/>
    <w:rsid w:val="006239BA"/>
    <w:rsid w:val="00623EB9"/>
    <w:rsid w:val="00631631"/>
    <w:rsid w:val="00632701"/>
    <w:rsid w:val="00632719"/>
    <w:rsid w:val="006333B5"/>
    <w:rsid w:val="006362DB"/>
    <w:rsid w:val="00636D3A"/>
    <w:rsid w:val="00641020"/>
    <w:rsid w:val="006429A9"/>
    <w:rsid w:val="00643F5C"/>
    <w:rsid w:val="0065215B"/>
    <w:rsid w:val="00653E63"/>
    <w:rsid w:val="0065626C"/>
    <w:rsid w:val="00660D50"/>
    <w:rsid w:val="00665322"/>
    <w:rsid w:val="00680A87"/>
    <w:rsid w:val="00681BE8"/>
    <w:rsid w:val="00682CF2"/>
    <w:rsid w:val="006831F4"/>
    <w:rsid w:val="00685445"/>
    <w:rsid w:val="0068551F"/>
    <w:rsid w:val="00691138"/>
    <w:rsid w:val="006953A9"/>
    <w:rsid w:val="006A77B7"/>
    <w:rsid w:val="006B1C03"/>
    <w:rsid w:val="006B1C93"/>
    <w:rsid w:val="006B4573"/>
    <w:rsid w:val="006B54E7"/>
    <w:rsid w:val="006B5FC1"/>
    <w:rsid w:val="006B6F0C"/>
    <w:rsid w:val="006C0C39"/>
    <w:rsid w:val="006C39FB"/>
    <w:rsid w:val="006C46A5"/>
    <w:rsid w:val="006C5387"/>
    <w:rsid w:val="006C6EFF"/>
    <w:rsid w:val="006C71BC"/>
    <w:rsid w:val="006C7C53"/>
    <w:rsid w:val="006C7DDC"/>
    <w:rsid w:val="006D6B55"/>
    <w:rsid w:val="006E06D1"/>
    <w:rsid w:val="006E41CC"/>
    <w:rsid w:val="006E55C4"/>
    <w:rsid w:val="006E5EC7"/>
    <w:rsid w:val="006E62AB"/>
    <w:rsid w:val="006F3671"/>
    <w:rsid w:val="006F420E"/>
    <w:rsid w:val="006F4C5F"/>
    <w:rsid w:val="007005C4"/>
    <w:rsid w:val="0070122A"/>
    <w:rsid w:val="007130CE"/>
    <w:rsid w:val="00713602"/>
    <w:rsid w:val="00721600"/>
    <w:rsid w:val="00721E4C"/>
    <w:rsid w:val="007229A7"/>
    <w:rsid w:val="00725D73"/>
    <w:rsid w:val="00727150"/>
    <w:rsid w:val="00732CDA"/>
    <w:rsid w:val="00740137"/>
    <w:rsid w:val="00744EDA"/>
    <w:rsid w:val="007631BF"/>
    <w:rsid w:val="00764AAA"/>
    <w:rsid w:val="007657AE"/>
    <w:rsid w:val="00772671"/>
    <w:rsid w:val="00776174"/>
    <w:rsid w:val="007762A3"/>
    <w:rsid w:val="0077638D"/>
    <w:rsid w:val="00780ECC"/>
    <w:rsid w:val="0078211F"/>
    <w:rsid w:val="007836C1"/>
    <w:rsid w:val="00783938"/>
    <w:rsid w:val="00783CCB"/>
    <w:rsid w:val="007850B3"/>
    <w:rsid w:val="00796D93"/>
    <w:rsid w:val="00797026"/>
    <w:rsid w:val="007A1774"/>
    <w:rsid w:val="007A421F"/>
    <w:rsid w:val="007A518D"/>
    <w:rsid w:val="007B4297"/>
    <w:rsid w:val="007C1F9C"/>
    <w:rsid w:val="007C366B"/>
    <w:rsid w:val="007C4A31"/>
    <w:rsid w:val="007C690B"/>
    <w:rsid w:val="007D1A3F"/>
    <w:rsid w:val="007D4271"/>
    <w:rsid w:val="007D537E"/>
    <w:rsid w:val="007F0C2B"/>
    <w:rsid w:val="007F16DF"/>
    <w:rsid w:val="007F22C7"/>
    <w:rsid w:val="007F4A3A"/>
    <w:rsid w:val="008036C3"/>
    <w:rsid w:val="00803F0A"/>
    <w:rsid w:val="00804043"/>
    <w:rsid w:val="008045B4"/>
    <w:rsid w:val="00804D55"/>
    <w:rsid w:val="00813A49"/>
    <w:rsid w:val="00813BFE"/>
    <w:rsid w:val="008161B1"/>
    <w:rsid w:val="00817506"/>
    <w:rsid w:val="00817C15"/>
    <w:rsid w:val="00817CE8"/>
    <w:rsid w:val="008209E6"/>
    <w:rsid w:val="008272BA"/>
    <w:rsid w:val="008302FF"/>
    <w:rsid w:val="00832E04"/>
    <w:rsid w:val="008333AB"/>
    <w:rsid w:val="00833E3C"/>
    <w:rsid w:val="00834988"/>
    <w:rsid w:val="008356C0"/>
    <w:rsid w:val="00835EE3"/>
    <w:rsid w:val="00842B2A"/>
    <w:rsid w:val="00847FA4"/>
    <w:rsid w:val="00851AAE"/>
    <w:rsid w:val="008539D3"/>
    <w:rsid w:val="00857759"/>
    <w:rsid w:val="00857CE7"/>
    <w:rsid w:val="00862F31"/>
    <w:rsid w:val="00863F8F"/>
    <w:rsid w:val="008663C1"/>
    <w:rsid w:val="00866694"/>
    <w:rsid w:val="00867613"/>
    <w:rsid w:val="00871880"/>
    <w:rsid w:val="00873DCC"/>
    <w:rsid w:val="0087494F"/>
    <w:rsid w:val="00876C0C"/>
    <w:rsid w:val="008803AE"/>
    <w:rsid w:val="00880E66"/>
    <w:rsid w:val="0088155D"/>
    <w:rsid w:val="00881604"/>
    <w:rsid w:val="0088164E"/>
    <w:rsid w:val="0089058E"/>
    <w:rsid w:val="00890F45"/>
    <w:rsid w:val="008923DB"/>
    <w:rsid w:val="00894B95"/>
    <w:rsid w:val="00896346"/>
    <w:rsid w:val="008A2E7A"/>
    <w:rsid w:val="008A323C"/>
    <w:rsid w:val="008A47B1"/>
    <w:rsid w:val="008B23D2"/>
    <w:rsid w:val="008B2E7A"/>
    <w:rsid w:val="008B693E"/>
    <w:rsid w:val="008C2678"/>
    <w:rsid w:val="008C3EED"/>
    <w:rsid w:val="008C41A6"/>
    <w:rsid w:val="008C5780"/>
    <w:rsid w:val="008C7DED"/>
    <w:rsid w:val="008D32C1"/>
    <w:rsid w:val="008E00D2"/>
    <w:rsid w:val="008E4B4D"/>
    <w:rsid w:val="008F100B"/>
    <w:rsid w:val="008F3540"/>
    <w:rsid w:val="008F5359"/>
    <w:rsid w:val="00905C03"/>
    <w:rsid w:val="0090611D"/>
    <w:rsid w:val="009071BC"/>
    <w:rsid w:val="00910604"/>
    <w:rsid w:val="00911FE9"/>
    <w:rsid w:val="009149A4"/>
    <w:rsid w:val="0091529D"/>
    <w:rsid w:val="00915C82"/>
    <w:rsid w:val="0091708C"/>
    <w:rsid w:val="0092532F"/>
    <w:rsid w:val="00927C09"/>
    <w:rsid w:val="009301A2"/>
    <w:rsid w:val="00932EE0"/>
    <w:rsid w:val="009337ED"/>
    <w:rsid w:val="0093466C"/>
    <w:rsid w:val="0093467B"/>
    <w:rsid w:val="009364DC"/>
    <w:rsid w:val="00936674"/>
    <w:rsid w:val="00943503"/>
    <w:rsid w:val="00944580"/>
    <w:rsid w:val="0094619A"/>
    <w:rsid w:val="00946E9D"/>
    <w:rsid w:val="00951806"/>
    <w:rsid w:val="0095406E"/>
    <w:rsid w:val="00956532"/>
    <w:rsid w:val="0096432D"/>
    <w:rsid w:val="00964467"/>
    <w:rsid w:val="0096545C"/>
    <w:rsid w:val="0097019B"/>
    <w:rsid w:val="00971202"/>
    <w:rsid w:val="00971E50"/>
    <w:rsid w:val="00972825"/>
    <w:rsid w:val="009729AE"/>
    <w:rsid w:val="00973669"/>
    <w:rsid w:val="0097402A"/>
    <w:rsid w:val="00982F81"/>
    <w:rsid w:val="00983281"/>
    <w:rsid w:val="00985A00"/>
    <w:rsid w:val="00986E95"/>
    <w:rsid w:val="00992207"/>
    <w:rsid w:val="00992A0B"/>
    <w:rsid w:val="00996C85"/>
    <w:rsid w:val="00996D9A"/>
    <w:rsid w:val="00997308"/>
    <w:rsid w:val="009978E8"/>
    <w:rsid w:val="00997A55"/>
    <w:rsid w:val="009A35C8"/>
    <w:rsid w:val="009A44CE"/>
    <w:rsid w:val="009A50A8"/>
    <w:rsid w:val="009A5BD7"/>
    <w:rsid w:val="009B0B53"/>
    <w:rsid w:val="009B35B3"/>
    <w:rsid w:val="009B4E4D"/>
    <w:rsid w:val="009B7757"/>
    <w:rsid w:val="009C22FB"/>
    <w:rsid w:val="009C24EF"/>
    <w:rsid w:val="009D0DB3"/>
    <w:rsid w:val="009D115E"/>
    <w:rsid w:val="009D43B2"/>
    <w:rsid w:val="009D6DC2"/>
    <w:rsid w:val="009D7682"/>
    <w:rsid w:val="009D7A64"/>
    <w:rsid w:val="009E1C39"/>
    <w:rsid w:val="009E3140"/>
    <w:rsid w:val="009E444C"/>
    <w:rsid w:val="009F1644"/>
    <w:rsid w:val="009F315E"/>
    <w:rsid w:val="00A016F9"/>
    <w:rsid w:val="00A06618"/>
    <w:rsid w:val="00A06A30"/>
    <w:rsid w:val="00A157FC"/>
    <w:rsid w:val="00A204E6"/>
    <w:rsid w:val="00A24493"/>
    <w:rsid w:val="00A257B3"/>
    <w:rsid w:val="00A3564B"/>
    <w:rsid w:val="00A37DBA"/>
    <w:rsid w:val="00A42E88"/>
    <w:rsid w:val="00A54B3F"/>
    <w:rsid w:val="00A554C2"/>
    <w:rsid w:val="00A57A8A"/>
    <w:rsid w:val="00A60E66"/>
    <w:rsid w:val="00A71AF3"/>
    <w:rsid w:val="00A71DF9"/>
    <w:rsid w:val="00A7218C"/>
    <w:rsid w:val="00A771CD"/>
    <w:rsid w:val="00A8314C"/>
    <w:rsid w:val="00A833F2"/>
    <w:rsid w:val="00A8405C"/>
    <w:rsid w:val="00A868DF"/>
    <w:rsid w:val="00A91016"/>
    <w:rsid w:val="00A91B4E"/>
    <w:rsid w:val="00A9594C"/>
    <w:rsid w:val="00A961B5"/>
    <w:rsid w:val="00AA0EA7"/>
    <w:rsid w:val="00AA23EF"/>
    <w:rsid w:val="00AA66FB"/>
    <w:rsid w:val="00AB4607"/>
    <w:rsid w:val="00AB5C68"/>
    <w:rsid w:val="00AB69B4"/>
    <w:rsid w:val="00AB74CE"/>
    <w:rsid w:val="00AC083F"/>
    <w:rsid w:val="00AC0ADF"/>
    <w:rsid w:val="00AC1065"/>
    <w:rsid w:val="00AC379A"/>
    <w:rsid w:val="00AD015D"/>
    <w:rsid w:val="00AD173B"/>
    <w:rsid w:val="00AD2729"/>
    <w:rsid w:val="00AE2084"/>
    <w:rsid w:val="00AE2621"/>
    <w:rsid w:val="00AE4214"/>
    <w:rsid w:val="00AF00EA"/>
    <w:rsid w:val="00AF137E"/>
    <w:rsid w:val="00AF24FD"/>
    <w:rsid w:val="00AF6507"/>
    <w:rsid w:val="00B10568"/>
    <w:rsid w:val="00B1073A"/>
    <w:rsid w:val="00B114A9"/>
    <w:rsid w:val="00B122E3"/>
    <w:rsid w:val="00B123CF"/>
    <w:rsid w:val="00B1360A"/>
    <w:rsid w:val="00B14601"/>
    <w:rsid w:val="00B14B65"/>
    <w:rsid w:val="00B20795"/>
    <w:rsid w:val="00B33904"/>
    <w:rsid w:val="00B34662"/>
    <w:rsid w:val="00B34F65"/>
    <w:rsid w:val="00B35C8B"/>
    <w:rsid w:val="00B36818"/>
    <w:rsid w:val="00B3745F"/>
    <w:rsid w:val="00B43C13"/>
    <w:rsid w:val="00B44B63"/>
    <w:rsid w:val="00B45F83"/>
    <w:rsid w:val="00B56A07"/>
    <w:rsid w:val="00B56B60"/>
    <w:rsid w:val="00B56B96"/>
    <w:rsid w:val="00B67B1D"/>
    <w:rsid w:val="00B71720"/>
    <w:rsid w:val="00B72B29"/>
    <w:rsid w:val="00B8608D"/>
    <w:rsid w:val="00B90E43"/>
    <w:rsid w:val="00B923C2"/>
    <w:rsid w:val="00B95B0A"/>
    <w:rsid w:val="00BA03FA"/>
    <w:rsid w:val="00BA16FF"/>
    <w:rsid w:val="00BB539C"/>
    <w:rsid w:val="00BC2C8C"/>
    <w:rsid w:val="00BC2E06"/>
    <w:rsid w:val="00BC56DA"/>
    <w:rsid w:val="00BD17BE"/>
    <w:rsid w:val="00BD3468"/>
    <w:rsid w:val="00BD3FF5"/>
    <w:rsid w:val="00BD7C7E"/>
    <w:rsid w:val="00BE0779"/>
    <w:rsid w:val="00BE07B0"/>
    <w:rsid w:val="00BE1CA1"/>
    <w:rsid w:val="00BE1D98"/>
    <w:rsid w:val="00BE2024"/>
    <w:rsid w:val="00BE2C33"/>
    <w:rsid w:val="00BE4DA1"/>
    <w:rsid w:val="00BE6B27"/>
    <w:rsid w:val="00BF29DF"/>
    <w:rsid w:val="00BF29EE"/>
    <w:rsid w:val="00BF4CA6"/>
    <w:rsid w:val="00BF4D86"/>
    <w:rsid w:val="00BF5751"/>
    <w:rsid w:val="00BF6E76"/>
    <w:rsid w:val="00BF7B54"/>
    <w:rsid w:val="00C0352E"/>
    <w:rsid w:val="00C05F52"/>
    <w:rsid w:val="00C11371"/>
    <w:rsid w:val="00C12260"/>
    <w:rsid w:val="00C20455"/>
    <w:rsid w:val="00C212F0"/>
    <w:rsid w:val="00C218EF"/>
    <w:rsid w:val="00C23513"/>
    <w:rsid w:val="00C26407"/>
    <w:rsid w:val="00C26A75"/>
    <w:rsid w:val="00C27342"/>
    <w:rsid w:val="00C27591"/>
    <w:rsid w:val="00C27EC6"/>
    <w:rsid w:val="00C31B6A"/>
    <w:rsid w:val="00C36F35"/>
    <w:rsid w:val="00C3780A"/>
    <w:rsid w:val="00C37E88"/>
    <w:rsid w:val="00C405CB"/>
    <w:rsid w:val="00C50413"/>
    <w:rsid w:val="00C514BB"/>
    <w:rsid w:val="00C53AF6"/>
    <w:rsid w:val="00C55186"/>
    <w:rsid w:val="00C55238"/>
    <w:rsid w:val="00C6034A"/>
    <w:rsid w:val="00C604B0"/>
    <w:rsid w:val="00C61CF8"/>
    <w:rsid w:val="00C623B6"/>
    <w:rsid w:val="00C65BB6"/>
    <w:rsid w:val="00C65E5B"/>
    <w:rsid w:val="00C67215"/>
    <w:rsid w:val="00C7015E"/>
    <w:rsid w:val="00C712DD"/>
    <w:rsid w:val="00C7213A"/>
    <w:rsid w:val="00C72D0F"/>
    <w:rsid w:val="00C84E5C"/>
    <w:rsid w:val="00C85E68"/>
    <w:rsid w:val="00C86AE3"/>
    <w:rsid w:val="00C901D4"/>
    <w:rsid w:val="00C92D0E"/>
    <w:rsid w:val="00C959EA"/>
    <w:rsid w:val="00C96E72"/>
    <w:rsid w:val="00C979E1"/>
    <w:rsid w:val="00C97CB2"/>
    <w:rsid w:val="00CA0D76"/>
    <w:rsid w:val="00CA1C91"/>
    <w:rsid w:val="00CA2D2D"/>
    <w:rsid w:val="00CA5139"/>
    <w:rsid w:val="00CA630A"/>
    <w:rsid w:val="00CB6C68"/>
    <w:rsid w:val="00CC069D"/>
    <w:rsid w:val="00CD6371"/>
    <w:rsid w:val="00CD692F"/>
    <w:rsid w:val="00CD77FD"/>
    <w:rsid w:val="00CE1289"/>
    <w:rsid w:val="00CE4FC5"/>
    <w:rsid w:val="00CE5AE9"/>
    <w:rsid w:val="00CE7482"/>
    <w:rsid w:val="00CE7D56"/>
    <w:rsid w:val="00CF4538"/>
    <w:rsid w:val="00CF4EC1"/>
    <w:rsid w:val="00CF58A5"/>
    <w:rsid w:val="00CF5DDB"/>
    <w:rsid w:val="00CF6313"/>
    <w:rsid w:val="00D008FD"/>
    <w:rsid w:val="00D0263B"/>
    <w:rsid w:val="00D155E4"/>
    <w:rsid w:val="00D26954"/>
    <w:rsid w:val="00D26A9F"/>
    <w:rsid w:val="00D27628"/>
    <w:rsid w:val="00D33F01"/>
    <w:rsid w:val="00D35FA0"/>
    <w:rsid w:val="00D43220"/>
    <w:rsid w:val="00D44CBA"/>
    <w:rsid w:val="00D45618"/>
    <w:rsid w:val="00D47352"/>
    <w:rsid w:val="00D509D6"/>
    <w:rsid w:val="00D52E03"/>
    <w:rsid w:val="00D52E3C"/>
    <w:rsid w:val="00D53DD5"/>
    <w:rsid w:val="00D653A9"/>
    <w:rsid w:val="00D667A1"/>
    <w:rsid w:val="00D7177D"/>
    <w:rsid w:val="00D719D6"/>
    <w:rsid w:val="00D71C9E"/>
    <w:rsid w:val="00D73967"/>
    <w:rsid w:val="00D73AB1"/>
    <w:rsid w:val="00D7406C"/>
    <w:rsid w:val="00D8067A"/>
    <w:rsid w:val="00D81F5F"/>
    <w:rsid w:val="00D85158"/>
    <w:rsid w:val="00D853ED"/>
    <w:rsid w:val="00D861D6"/>
    <w:rsid w:val="00D872DD"/>
    <w:rsid w:val="00D879DB"/>
    <w:rsid w:val="00D90D89"/>
    <w:rsid w:val="00D9133F"/>
    <w:rsid w:val="00D952AB"/>
    <w:rsid w:val="00D967F6"/>
    <w:rsid w:val="00DB15E6"/>
    <w:rsid w:val="00DB436E"/>
    <w:rsid w:val="00DC02AD"/>
    <w:rsid w:val="00DC5A7B"/>
    <w:rsid w:val="00DD32B7"/>
    <w:rsid w:val="00DE2DB3"/>
    <w:rsid w:val="00DE4021"/>
    <w:rsid w:val="00DE4AB8"/>
    <w:rsid w:val="00DE54F2"/>
    <w:rsid w:val="00DF3F8C"/>
    <w:rsid w:val="00DF6DC7"/>
    <w:rsid w:val="00DF769F"/>
    <w:rsid w:val="00E0207B"/>
    <w:rsid w:val="00E053CA"/>
    <w:rsid w:val="00E22E1A"/>
    <w:rsid w:val="00E31A77"/>
    <w:rsid w:val="00E322AD"/>
    <w:rsid w:val="00E3703B"/>
    <w:rsid w:val="00E404C0"/>
    <w:rsid w:val="00E42926"/>
    <w:rsid w:val="00E436DC"/>
    <w:rsid w:val="00E44A76"/>
    <w:rsid w:val="00E47CC9"/>
    <w:rsid w:val="00E52421"/>
    <w:rsid w:val="00E54E8E"/>
    <w:rsid w:val="00E5586F"/>
    <w:rsid w:val="00E55CCA"/>
    <w:rsid w:val="00E614AF"/>
    <w:rsid w:val="00E61A9D"/>
    <w:rsid w:val="00E639FA"/>
    <w:rsid w:val="00E7029A"/>
    <w:rsid w:val="00E7047C"/>
    <w:rsid w:val="00E71455"/>
    <w:rsid w:val="00E747DC"/>
    <w:rsid w:val="00E76CD5"/>
    <w:rsid w:val="00E8284D"/>
    <w:rsid w:val="00E82F0B"/>
    <w:rsid w:val="00E83433"/>
    <w:rsid w:val="00E83F8E"/>
    <w:rsid w:val="00E845CC"/>
    <w:rsid w:val="00EA55F1"/>
    <w:rsid w:val="00EB07A4"/>
    <w:rsid w:val="00EB6CB4"/>
    <w:rsid w:val="00EB7F2E"/>
    <w:rsid w:val="00EC4984"/>
    <w:rsid w:val="00EC49BC"/>
    <w:rsid w:val="00EC6666"/>
    <w:rsid w:val="00ED1045"/>
    <w:rsid w:val="00EE051E"/>
    <w:rsid w:val="00EE0636"/>
    <w:rsid w:val="00EE153B"/>
    <w:rsid w:val="00EF36EF"/>
    <w:rsid w:val="00EF410D"/>
    <w:rsid w:val="00EF7B79"/>
    <w:rsid w:val="00F0013D"/>
    <w:rsid w:val="00F055E5"/>
    <w:rsid w:val="00F14D20"/>
    <w:rsid w:val="00F1532C"/>
    <w:rsid w:val="00F161D5"/>
    <w:rsid w:val="00F173D5"/>
    <w:rsid w:val="00F23A3C"/>
    <w:rsid w:val="00F340AE"/>
    <w:rsid w:val="00F34B96"/>
    <w:rsid w:val="00F371F6"/>
    <w:rsid w:val="00F41D3E"/>
    <w:rsid w:val="00F420AD"/>
    <w:rsid w:val="00F4267A"/>
    <w:rsid w:val="00F45570"/>
    <w:rsid w:val="00F46545"/>
    <w:rsid w:val="00F469FD"/>
    <w:rsid w:val="00F52C43"/>
    <w:rsid w:val="00F57D65"/>
    <w:rsid w:val="00F61B7E"/>
    <w:rsid w:val="00F62019"/>
    <w:rsid w:val="00F73230"/>
    <w:rsid w:val="00F821A8"/>
    <w:rsid w:val="00F91812"/>
    <w:rsid w:val="00F977DF"/>
    <w:rsid w:val="00FA0866"/>
    <w:rsid w:val="00FA1366"/>
    <w:rsid w:val="00FA2FBD"/>
    <w:rsid w:val="00FA30E5"/>
    <w:rsid w:val="00FA6323"/>
    <w:rsid w:val="00FB2729"/>
    <w:rsid w:val="00FB4B18"/>
    <w:rsid w:val="00FB5F17"/>
    <w:rsid w:val="00FC2BD5"/>
    <w:rsid w:val="00FC33EF"/>
    <w:rsid w:val="00FC7AB2"/>
    <w:rsid w:val="00FC7E5D"/>
    <w:rsid w:val="00FD39B7"/>
    <w:rsid w:val="00FD5960"/>
    <w:rsid w:val="00FD5C35"/>
    <w:rsid w:val="00FD5E13"/>
    <w:rsid w:val="00FE413D"/>
    <w:rsid w:val="00FE5683"/>
    <w:rsid w:val="00FE7337"/>
    <w:rsid w:val="00FF30D2"/>
    <w:rsid w:val="00FF57F1"/>
    <w:rsid w:val="00FF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49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6429A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/>
    </w:rPr>
  </w:style>
  <w:style w:type="paragraph" w:styleId="3">
    <w:name w:val="heading 3"/>
    <w:basedOn w:val="a"/>
    <w:next w:val="a"/>
    <w:link w:val="30"/>
    <w:uiPriority w:val="99"/>
    <w:qFormat/>
    <w:rsid w:val="00452C64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429A9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semiHidden/>
    <w:locked/>
    <w:rsid w:val="00452C64"/>
    <w:rPr>
      <w:rFonts w:ascii="Cambria" w:hAnsi="Cambria" w:cs="Cambria"/>
      <w:b/>
      <w:bCs/>
      <w:color w:val="4F81BD"/>
    </w:rPr>
  </w:style>
  <w:style w:type="paragraph" w:styleId="a3">
    <w:name w:val="List Paragraph"/>
    <w:basedOn w:val="a"/>
    <w:uiPriority w:val="34"/>
    <w:qFormat/>
    <w:rsid w:val="0011249D"/>
    <w:pPr>
      <w:ind w:left="720"/>
    </w:pPr>
  </w:style>
  <w:style w:type="paragraph" w:styleId="a4">
    <w:name w:val="Balloon Text"/>
    <w:basedOn w:val="a"/>
    <w:link w:val="a5"/>
    <w:uiPriority w:val="99"/>
    <w:semiHidden/>
    <w:rsid w:val="008356C0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8356C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8C578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AF00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7108">
              <w:marLeft w:val="0"/>
              <w:marRight w:val="120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2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8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7116">
              <w:marLeft w:val="0"/>
              <w:marRight w:val="120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8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7117">
              <w:marLeft w:val="0"/>
              <w:marRight w:val="120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2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8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7119">
              <w:marLeft w:val="0"/>
              <w:marRight w:val="120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2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2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VitaliAna.VitaliAna-&#1055;&#1050;\Desktop\Publicarea%20dosarelor%20si%20hotaririlor%20redactat%202019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VitaliAna.VitaliAna-&#1055;&#1050;\Desktop\Publicarea%20dosarelor%20si%20hotaririlor%20redactat%202019.xls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VitaliAna.VitaliAna-&#1055;&#1050;\Desktop\Publicarea%20dosarelor%20si%20hotaririlor%20redactat%202019.xls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VitaliAna.VitaliAna-&#1055;&#1050;\Desktop\Publicarea%20dosarelor%20si%20hotaririlor%20redactat%202019.xls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VitaliAna.VitaliAna-&#1055;&#1050;\Desktop\Publicarea%20dosarelor%20si%20hotaririlor%20redactat%202019.xls" TargetMode="External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pieChart>
        <c:varyColors val="1"/>
        <c:ser>
          <c:idx val="0"/>
          <c:order val="0"/>
          <c:dLbls>
            <c:spPr>
              <a:noFill/>
              <a:ln w="25400">
                <a:noFill/>
              </a:ln>
            </c:spPr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'Diagrama încheieri'!$B$5:$B$6</c:f>
              <c:strCache>
                <c:ptCount val="2"/>
                <c:pt idx="0">
                  <c:v>Încheiri publicate</c:v>
                </c:pt>
                <c:pt idx="1">
                  <c:v>Încheiri nepublicate</c:v>
                </c:pt>
              </c:strCache>
            </c:strRef>
          </c:cat>
          <c:val>
            <c:numRef>
              <c:f>'Diagrama încheieri'!$C$5:$C$6</c:f>
              <c:numCache>
                <c:formatCode>General</c:formatCode>
                <c:ptCount val="2"/>
                <c:pt idx="0">
                  <c:v>61832</c:v>
                </c:pt>
                <c:pt idx="1">
                  <c:v>2193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otX val="30"/>
      <c:perspective val="0"/>
    </c:view3D>
    <c:plotArea>
      <c:layout>
        <c:manualLayout>
          <c:layoutTarget val="inner"/>
          <c:xMode val="edge"/>
          <c:yMode val="edge"/>
          <c:x val="6.8498250218722703E-2"/>
          <c:y val="9.7019677274068503E-2"/>
          <c:w val="0.58675481189851264"/>
          <c:h val="0.78007050089612551"/>
        </c:manualLayout>
      </c:layout>
      <c:pie3DChart>
        <c:varyColors val="1"/>
        <c:ser>
          <c:idx val="0"/>
          <c:order val="0"/>
          <c:dLbls>
            <c:spPr>
              <a:noFill/>
              <a:ln w="25400">
                <a:noFill/>
              </a:ln>
            </c:spPr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'Diagrama încheieri'!$B$22:$D$22</c:f>
              <c:strCache>
                <c:ptCount val="3"/>
                <c:pt idx="0">
                  <c:v>Civile</c:v>
                </c:pt>
                <c:pt idx="1">
                  <c:v>Penale</c:v>
                </c:pt>
                <c:pt idx="2">
                  <c:v>Contravenționale</c:v>
                </c:pt>
              </c:strCache>
            </c:strRef>
          </c:cat>
          <c:val>
            <c:numRef>
              <c:f>'Diagrama încheieri'!$B$23:$D$23</c:f>
              <c:numCache>
                <c:formatCode>General</c:formatCode>
                <c:ptCount val="3"/>
                <c:pt idx="0">
                  <c:v>1461</c:v>
                </c:pt>
                <c:pt idx="1">
                  <c:v>523</c:v>
                </c:pt>
                <c:pt idx="2">
                  <c:v>209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pieChart>
        <c:varyColors val="1"/>
        <c:ser>
          <c:idx val="0"/>
          <c:order val="0"/>
          <c:dLbls>
            <c:spPr>
              <a:noFill/>
              <a:ln w="25400">
                <a:noFill/>
              </a:ln>
            </c:spPr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'Diagrama hotărîri'!$B$5:$B$6</c:f>
              <c:strCache>
                <c:ptCount val="2"/>
                <c:pt idx="0">
                  <c:v>hotărîri publicate</c:v>
                </c:pt>
                <c:pt idx="1">
                  <c:v>hotărîri  nepublicate</c:v>
                </c:pt>
              </c:strCache>
            </c:strRef>
          </c:cat>
          <c:val>
            <c:numRef>
              <c:f>'Diagrama hotărîri'!$C$5:$C$6</c:f>
              <c:numCache>
                <c:formatCode>General</c:formatCode>
                <c:ptCount val="2"/>
                <c:pt idx="0">
                  <c:v>150316</c:v>
                </c:pt>
                <c:pt idx="1">
                  <c:v>6159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rotX val="30"/>
      <c:perspective val="0"/>
    </c:view3D>
    <c:plotArea>
      <c:layout>
        <c:manualLayout>
          <c:layoutTarget val="inner"/>
          <c:xMode val="edge"/>
          <c:yMode val="edge"/>
          <c:x val="6.8498250218722703E-2"/>
          <c:y val="9.7019765733166854E-2"/>
          <c:w val="0.58675481189851264"/>
          <c:h val="0.78007050089612551"/>
        </c:manualLayout>
      </c:layout>
      <c:pie3DChart>
        <c:varyColors val="1"/>
        <c:ser>
          <c:idx val="0"/>
          <c:order val="0"/>
          <c:dLbls>
            <c:spPr>
              <a:noFill/>
              <a:ln w="25400">
                <a:noFill/>
              </a:ln>
            </c:spPr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'Diagrama hotărîri'!$B$22:$D$22</c:f>
              <c:strCache>
                <c:ptCount val="3"/>
                <c:pt idx="0">
                  <c:v>Civile</c:v>
                </c:pt>
                <c:pt idx="1">
                  <c:v>Penale</c:v>
                </c:pt>
                <c:pt idx="2">
                  <c:v>Contravenționale</c:v>
                </c:pt>
              </c:strCache>
            </c:strRef>
          </c:cat>
          <c:val>
            <c:numRef>
              <c:f>'Diagrama hotărîri'!$B$23:$D$23</c:f>
              <c:numCache>
                <c:formatCode>General</c:formatCode>
                <c:ptCount val="3"/>
                <c:pt idx="0">
                  <c:v>3545</c:v>
                </c:pt>
                <c:pt idx="1">
                  <c:v>1157</c:v>
                </c:pt>
                <c:pt idx="2">
                  <c:v>1457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'Diagrama hotărîri si încheieri'!$A$7</c:f>
              <c:strCache>
                <c:ptCount val="1"/>
                <c:pt idx="0">
                  <c:v>Încheieri dosare</c:v>
                </c:pt>
              </c:strCache>
            </c:strRef>
          </c:tx>
          <c:cat>
            <c:strRef>
              <c:f>'Diagrama hotărîri si încheieri'!$B$6:$C$6</c:f>
              <c:strCache>
                <c:ptCount val="2"/>
                <c:pt idx="0">
                  <c:v>Publicate</c:v>
                </c:pt>
                <c:pt idx="1">
                  <c:v>Nepublicate</c:v>
                </c:pt>
              </c:strCache>
            </c:strRef>
          </c:cat>
          <c:val>
            <c:numRef>
              <c:f>'Diagrama hotărîri si încheieri'!$B$7:$C$7</c:f>
              <c:numCache>
                <c:formatCode>General</c:formatCode>
                <c:ptCount val="2"/>
                <c:pt idx="0">
                  <c:v>150316</c:v>
                </c:pt>
                <c:pt idx="1">
                  <c:v>61832</c:v>
                </c:pt>
              </c:numCache>
            </c:numRef>
          </c:val>
        </c:ser>
        <c:ser>
          <c:idx val="1"/>
          <c:order val="1"/>
          <c:tx>
            <c:strRef>
              <c:f>'Diagrama hotărîri si încheieri'!$A$8</c:f>
              <c:strCache>
                <c:ptCount val="1"/>
                <c:pt idx="0">
                  <c:v>Hotărîri</c:v>
                </c:pt>
              </c:strCache>
            </c:strRef>
          </c:tx>
          <c:cat>
            <c:strRef>
              <c:f>'Diagrama hotărîri si încheieri'!$B$6:$C$6</c:f>
              <c:strCache>
                <c:ptCount val="2"/>
                <c:pt idx="0">
                  <c:v>Publicate</c:v>
                </c:pt>
                <c:pt idx="1">
                  <c:v>Nepublicate</c:v>
                </c:pt>
              </c:strCache>
            </c:strRef>
          </c:cat>
          <c:val>
            <c:numRef>
              <c:f>'Diagrama hotărîri si încheieri'!$B$8:$C$8</c:f>
              <c:numCache>
                <c:formatCode>General</c:formatCode>
                <c:ptCount val="2"/>
                <c:pt idx="0">
                  <c:v>6159</c:v>
                </c:pt>
                <c:pt idx="1">
                  <c:v>2193</c:v>
                </c:pt>
              </c:numCache>
            </c:numRef>
          </c:val>
        </c:ser>
        <c:shape val="box"/>
        <c:axId val="92296320"/>
        <c:axId val="92297856"/>
        <c:axId val="0"/>
      </c:bar3DChart>
      <c:catAx>
        <c:axId val="92296320"/>
        <c:scaling>
          <c:orientation val="minMax"/>
        </c:scaling>
        <c:axPos val="b"/>
        <c:numFmt formatCode="General" sourceLinked="0"/>
        <c:tickLblPos val="nextTo"/>
        <c:crossAx val="92297856"/>
        <c:crosses val="autoZero"/>
        <c:auto val="1"/>
        <c:lblAlgn val="ctr"/>
        <c:lblOffset val="100"/>
      </c:catAx>
      <c:valAx>
        <c:axId val="92297856"/>
        <c:scaling>
          <c:orientation val="minMax"/>
        </c:scaling>
        <c:axPos val="l"/>
        <c:majorGridlines/>
        <c:numFmt formatCode="General" sourceLinked="1"/>
        <c:tickLblPos val="nextTo"/>
        <c:crossAx val="922963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494466316710451"/>
          <c:y val="0.41628280839895038"/>
          <c:w val="0.24227755905511811"/>
          <c:h val="0.17206401283172945"/>
        </c:manualLayout>
      </c:layout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EB44C-E7D5-4E48-A875-5A7AF04C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1312</Words>
  <Characters>7480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PC-10</cp:lastModifiedBy>
  <cp:revision>2</cp:revision>
  <cp:lastPrinted>2019-01-09T07:28:00Z</cp:lastPrinted>
  <dcterms:created xsi:type="dcterms:W3CDTF">2019-01-30T12:29:00Z</dcterms:created>
  <dcterms:modified xsi:type="dcterms:W3CDTF">2019-01-30T12:29:00Z</dcterms:modified>
</cp:coreProperties>
</file>